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2F7A" w:rsidRPr="007A5A65" w:rsidRDefault="001E52B8">
      <w:pPr>
        <w:spacing w:after="0" w:line="240" w:lineRule="auto"/>
        <w:rPr>
          <w:rFonts w:asciiTheme="minorHAnsi" w:hAnsiTheme="minorHAnsi"/>
          <w:b/>
          <w:sz w:val="20"/>
          <w:szCs w:val="20"/>
        </w:rPr>
      </w:pPr>
      <w:r w:rsidRPr="007A5A65">
        <w:rPr>
          <w:rFonts w:asciiTheme="minorHAnsi" w:hAnsiTheme="minorHAnsi"/>
          <w:b/>
          <w:sz w:val="20"/>
          <w:szCs w:val="20"/>
        </w:rPr>
        <w:t>Establishment of Working Groups to support access to large optical telescopes</w:t>
      </w:r>
      <w:r w:rsidRPr="007A5A65">
        <w:rPr>
          <w:rFonts w:asciiTheme="minorHAnsi" w:hAnsiTheme="minorHAnsi"/>
          <w:sz w:val="20"/>
          <w:szCs w:val="20"/>
        </w:rPr>
        <w:br/>
      </w:r>
    </w:p>
    <w:p w14:paraId="00000002" w14:textId="616E2CF1" w:rsidR="00042F7A" w:rsidRPr="007A5A65" w:rsidRDefault="001E52B8">
      <w:pPr>
        <w:rPr>
          <w:rFonts w:asciiTheme="minorHAnsi" w:hAnsiTheme="minorHAnsi"/>
          <w:sz w:val="20"/>
          <w:szCs w:val="20"/>
        </w:rPr>
      </w:pPr>
      <w:r w:rsidRPr="007A5A65">
        <w:rPr>
          <w:rFonts w:asciiTheme="minorHAnsi" w:hAnsiTheme="minorHAnsi"/>
          <w:b/>
          <w:sz w:val="20"/>
          <w:szCs w:val="20"/>
        </w:rPr>
        <w:t xml:space="preserve">Purpose: </w:t>
      </w:r>
      <w:r w:rsidRPr="007A5A65">
        <w:rPr>
          <w:rFonts w:asciiTheme="minorHAnsi" w:hAnsiTheme="minorHAnsi"/>
          <w:sz w:val="20"/>
          <w:szCs w:val="20"/>
        </w:rPr>
        <w:t xml:space="preserve">To outline the formation of working groups on </w:t>
      </w:r>
      <w:r w:rsidRPr="007A5A65">
        <w:rPr>
          <w:rFonts w:asciiTheme="minorHAnsi" w:eastAsia="Aptos" w:hAnsiTheme="minorHAnsi" w:cs="Aptos"/>
          <w:color w:val="000000"/>
          <w:sz w:val="20"/>
          <w:szCs w:val="20"/>
        </w:rPr>
        <w:t>options for access to large optical telescopes.</w:t>
      </w:r>
    </w:p>
    <w:p w14:paraId="00000003" w14:textId="377CBA00" w:rsidR="00042F7A" w:rsidRDefault="001E52B8">
      <w:pPr>
        <w:spacing w:after="0"/>
        <w:rPr>
          <w:rFonts w:asciiTheme="minorHAnsi" w:eastAsia="Aptos" w:hAnsiTheme="minorHAnsi" w:cs="Aptos"/>
          <w:color w:val="000000"/>
          <w:sz w:val="20"/>
          <w:szCs w:val="20"/>
        </w:rPr>
      </w:pPr>
      <w:r w:rsidRPr="007A5A65">
        <w:rPr>
          <w:rFonts w:asciiTheme="minorHAnsi" w:eastAsia="Aptos" w:hAnsiTheme="minorHAnsi" w:cs="Aptos"/>
          <w:b/>
          <w:color w:val="000000"/>
          <w:sz w:val="20"/>
          <w:szCs w:val="20"/>
        </w:rPr>
        <w:t xml:space="preserve">Context: </w:t>
      </w:r>
      <w:r w:rsidRPr="007A5A65">
        <w:rPr>
          <w:rFonts w:asciiTheme="minorHAnsi" w:eastAsia="Aptos" w:hAnsiTheme="minorHAnsi" w:cs="Aptos"/>
          <w:color w:val="000000"/>
          <w:sz w:val="20"/>
          <w:szCs w:val="20"/>
        </w:rPr>
        <w:t xml:space="preserve">Australia’s Strategic Partnership with ESO is due to conclude on 1 Jan 2028. This partnership was underpinned by Australian Government funding of $129.2 million over 10 years.  </w:t>
      </w:r>
    </w:p>
    <w:p w14:paraId="7A887EEE" w14:textId="77777777" w:rsidR="005029DB" w:rsidRDefault="005029DB">
      <w:pPr>
        <w:spacing w:after="0"/>
        <w:rPr>
          <w:rFonts w:asciiTheme="minorHAnsi" w:eastAsia="Aptos" w:hAnsiTheme="minorHAnsi" w:cs="Aptos"/>
          <w:color w:val="000000"/>
          <w:sz w:val="20"/>
          <w:szCs w:val="20"/>
        </w:rPr>
      </w:pPr>
    </w:p>
    <w:p w14:paraId="6F8FCEAB" w14:textId="2FCCB50E" w:rsidR="005029DB" w:rsidRPr="00D300FF" w:rsidRDefault="005029DB">
      <w:pPr>
        <w:spacing w:after="0"/>
        <w:rPr>
          <w:rFonts w:asciiTheme="minorHAnsi" w:eastAsia="Aptos" w:hAnsiTheme="minorHAnsi" w:cs="Aptos"/>
          <w:bCs/>
          <w:sz w:val="20"/>
          <w:szCs w:val="20"/>
        </w:rPr>
      </w:pPr>
      <w:r w:rsidRPr="00B83EEC">
        <w:rPr>
          <w:rFonts w:asciiTheme="minorHAnsi" w:eastAsia="Aptos" w:hAnsiTheme="minorHAnsi" w:cs="Aptos"/>
          <w:bCs/>
          <w:color w:val="000000"/>
          <w:sz w:val="20"/>
          <w:szCs w:val="20"/>
        </w:rPr>
        <w:t xml:space="preserve">Government has not yet </w:t>
      </w:r>
      <w:proofErr w:type="gramStart"/>
      <w:r w:rsidRPr="00B83EEC">
        <w:rPr>
          <w:rFonts w:asciiTheme="minorHAnsi" w:eastAsia="Aptos" w:hAnsiTheme="minorHAnsi" w:cs="Aptos"/>
          <w:bCs/>
          <w:color w:val="000000"/>
          <w:sz w:val="20"/>
          <w:szCs w:val="20"/>
        </w:rPr>
        <w:t>made a decision</w:t>
      </w:r>
      <w:proofErr w:type="gramEnd"/>
      <w:r w:rsidRPr="00B83EEC">
        <w:rPr>
          <w:rFonts w:asciiTheme="minorHAnsi" w:eastAsia="Aptos" w:hAnsiTheme="minorHAnsi" w:cs="Aptos"/>
          <w:bCs/>
          <w:color w:val="000000"/>
          <w:sz w:val="20"/>
          <w:szCs w:val="20"/>
        </w:rPr>
        <w:t xml:space="preserve"> on whether to pursue ESO membership beyond this period. </w:t>
      </w:r>
      <w:proofErr w:type="gramStart"/>
      <w:r w:rsidRPr="00B83EEC">
        <w:rPr>
          <w:rFonts w:asciiTheme="minorHAnsi" w:eastAsia="Aptos" w:hAnsiTheme="minorHAnsi" w:cs="Aptos"/>
          <w:bCs/>
          <w:color w:val="000000"/>
          <w:sz w:val="20"/>
          <w:szCs w:val="20"/>
        </w:rPr>
        <w:t>However</w:t>
      </w:r>
      <w:proofErr w:type="gramEnd"/>
      <w:r w:rsidRPr="00B83EEC">
        <w:rPr>
          <w:rFonts w:asciiTheme="minorHAnsi" w:eastAsia="Aptos" w:hAnsiTheme="minorHAnsi" w:cs="Aptos"/>
          <w:bCs/>
          <w:color w:val="000000"/>
          <w:sz w:val="20"/>
          <w:szCs w:val="20"/>
        </w:rPr>
        <w:t xml:space="preserve"> the Department of Industry, Science and Resources (DISR) - the lead department responsible for managing astronomy policy and the strategic partnership with ESO - is having exploratory discussions directly with ESO about what future options could look like after the Strategic </w:t>
      </w:r>
      <w:r w:rsidRPr="00D300FF">
        <w:rPr>
          <w:rFonts w:asciiTheme="minorHAnsi" w:eastAsia="Aptos" w:hAnsiTheme="minorHAnsi" w:cs="Aptos"/>
          <w:bCs/>
          <w:color w:val="000000"/>
          <w:sz w:val="20"/>
          <w:szCs w:val="20"/>
        </w:rPr>
        <w:t xml:space="preserve">Partnership </w:t>
      </w:r>
      <w:r w:rsidRPr="00D300FF">
        <w:rPr>
          <w:rFonts w:asciiTheme="minorHAnsi" w:eastAsia="Aptos" w:hAnsiTheme="minorHAnsi" w:cs="Aptos"/>
          <w:bCs/>
          <w:sz w:val="20"/>
          <w:szCs w:val="20"/>
        </w:rPr>
        <w:t>ends</w:t>
      </w:r>
      <w:r w:rsidR="00AB391A" w:rsidRPr="00D300FF">
        <w:rPr>
          <w:rFonts w:asciiTheme="minorHAnsi" w:eastAsia="Aptos" w:hAnsiTheme="minorHAnsi" w:cs="Aptos"/>
          <w:bCs/>
          <w:sz w:val="20"/>
          <w:szCs w:val="20"/>
        </w:rPr>
        <w:t>, to inform the Government’s deliberations</w:t>
      </w:r>
      <w:r w:rsidRPr="00D300FF">
        <w:rPr>
          <w:rFonts w:asciiTheme="minorHAnsi" w:eastAsia="Aptos" w:hAnsiTheme="minorHAnsi" w:cs="Aptos"/>
          <w:bCs/>
          <w:sz w:val="20"/>
          <w:szCs w:val="20"/>
        </w:rPr>
        <w:t>.</w:t>
      </w:r>
    </w:p>
    <w:p w14:paraId="00000004" w14:textId="77777777" w:rsidR="00042F7A" w:rsidRPr="007A5A65" w:rsidRDefault="00042F7A">
      <w:pPr>
        <w:spacing w:after="0"/>
        <w:rPr>
          <w:rFonts w:asciiTheme="minorHAnsi" w:eastAsia="Aptos" w:hAnsiTheme="minorHAnsi" w:cs="Aptos"/>
          <w:color w:val="000000"/>
          <w:sz w:val="20"/>
          <w:szCs w:val="20"/>
        </w:rPr>
      </w:pPr>
    </w:p>
    <w:p w14:paraId="00000007" w14:textId="59884A04" w:rsidR="00042F7A" w:rsidRPr="007A5A65" w:rsidRDefault="001E52B8">
      <w:pPr>
        <w:spacing w:after="0"/>
        <w:rPr>
          <w:rFonts w:asciiTheme="minorHAnsi" w:eastAsia="Aptos" w:hAnsiTheme="minorHAnsi" w:cs="Aptos"/>
          <w:color w:val="000000"/>
          <w:sz w:val="20"/>
          <w:szCs w:val="20"/>
        </w:rPr>
      </w:pPr>
      <w:r w:rsidRPr="007A5A65">
        <w:rPr>
          <w:rFonts w:asciiTheme="minorHAnsi" w:eastAsia="Aptos" w:hAnsiTheme="minorHAnsi" w:cs="Aptos"/>
          <w:color w:val="000000"/>
          <w:sz w:val="20"/>
          <w:szCs w:val="20"/>
        </w:rPr>
        <w:t>The exposure draft of the 2026-35 Astronomy Decadal Plan proposes cost effective access to large optical telescopes as its top priority</w:t>
      </w:r>
      <w:r w:rsidR="00B83EEC">
        <w:rPr>
          <w:rFonts w:asciiTheme="minorHAnsi" w:eastAsia="Aptos" w:hAnsiTheme="minorHAnsi" w:cs="Aptos"/>
          <w:color w:val="000000"/>
          <w:sz w:val="20"/>
          <w:szCs w:val="20"/>
        </w:rPr>
        <w:t>, with membership of ESO highlighted as the preferred option</w:t>
      </w:r>
      <w:r w:rsidRPr="007A5A65">
        <w:rPr>
          <w:rFonts w:asciiTheme="minorHAnsi" w:eastAsia="Aptos" w:hAnsiTheme="minorHAnsi" w:cs="Aptos"/>
          <w:color w:val="000000"/>
          <w:sz w:val="20"/>
          <w:szCs w:val="20"/>
        </w:rPr>
        <w:t xml:space="preserve">. </w:t>
      </w:r>
    </w:p>
    <w:p w14:paraId="00000008" w14:textId="77777777" w:rsidR="00042F7A" w:rsidRPr="007A5A65" w:rsidRDefault="00042F7A">
      <w:pPr>
        <w:spacing w:after="0"/>
        <w:rPr>
          <w:rFonts w:asciiTheme="minorHAnsi" w:eastAsia="Aptos" w:hAnsiTheme="minorHAnsi" w:cs="Aptos"/>
          <w:color w:val="000000"/>
          <w:sz w:val="20"/>
          <w:szCs w:val="20"/>
        </w:rPr>
      </w:pPr>
    </w:p>
    <w:p w14:paraId="0000000A" w14:textId="456D11CB" w:rsidR="00042F7A" w:rsidRPr="00F80DF3" w:rsidRDefault="001E52B8">
      <w:pPr>
        <w:spacing w:after="0"/>
        <w:rPr>
          <w:rFonts w:asciiTheme="minorHAnsi" w:eastAsia="Aptos" w:hAnsiTheme="minorHAnsi" w:cs="Aptos"/>
          <w:color w:val="000000"/>
          <w:sz w:val="20"/>
          <w:szCs w:val="20"/>
        </w:rPr>
      </w:pPr>
      <w:r w:rsidRPr="007A5A65">
        <w:rPr>
          <w:rFonts w:asciiTheme="minorHAnsi" w:eastAsia="Aptos" w:hAnsiTheme="minorHAnsi" w:cs="Aptos"/>
          <w:b/>
          <w:color w:val="000000"/>
          <w:sz w:val="20"/>
          <w:szCs w:val="20"/>
        </w:rPr>
        <w:t>Approach</w:t>
      </w:r>
      <w:r w:rsidR="0095351A">
        <w:rPr>
          <w:rFonts w:asciiTheme="minorHAnsi" w:eastAsia="Aptos" w:hAnsiTheme="minorHAnsi" w:cs="Aptos"/>
          <w:b/>
          <w:color w:val="000000"/>
          <w:sz w:val="20"/>
          <w:szCs w:val="20"/>
        </w:rPr>
        <w:t xml:space="preserve">: </w:t>
      </w:r>
      <w:r w:rsidRPr="007A5A65">
        <w:rPr>
          <w:rFonts w:asciiTheme="minorHAnsi" w:eastAsia="Aptos" w:hAnsiTheme="minorHAnsi" w:cs="Aptos"/>
          <w:color w:val="000000"/>
          <w:sz w:val="20"/>
          <w:szCs w:val="20"/>
        </w:rPr>
        <w:t xml:space="preserve">In the lead-up to the conclusion of the partnership, </w:t>
      </w:r>
      <w:r w:rsidR="005029DB" w:rsidRPr="005029DB">
        <w:rPr>
          <w:rFonts w:asciiTheme="minorHAnsi" w:eastAsia="Aptos" w:hAnsiTheme="minorHAnsi" w:cs="Aptos"/>
          <w:color w:val="000000"/>
          <w:sz w:val="20"/>
          <w:szCs w:val="20"/>
        </w:rPr>
        <w:t>AAL has started pulling together information in two areas which it hopes will help inform the department’s analysis and advice to Government</w:t>
      </w:r>
      <w:r w:rsidR="005029DB">
        <w:rPr>
          <w:rFonts w:asciiTheme="minorHAnsi" w:eastAsia="Aptos" w:hAnsiTheme="minorHAnsi" w:cs="Aptos"/>
          <w:color w:val="000000"/>
          <w:sz w:val="20"/>
          <w:szCs w:val="20"/>
        </w:rPr>
        <w:t>.</w:t>
      </w:r>
      <w:r w:rsidRPr="00F80DF3">
        <w:rPr>
          <w:rFonts w:asciiTheme="minorHAnsi" w:eastAsia="Aptos" w:hAnsiTheme="minorHAnsi" w:cs="Aptos"/>
          <w:color w:val="000000"/>
          <w:sz w:val="20"/>
          <w:szCs w:val="20"/>
        </w:rPr>
        <w:t xml:space="preserve"> </w:t>
      </w:r>
    </w:p>
    <w:p w14:paraId="0000000B" w14:textId="77777777" w:rsidR="00042F7A" w:rsidRPr="00F80DF3" w:rsidRDefault="00042F7A">
      <w:pPr>
        <w:spacing w:after="0"/>
        <w:rPr>
          <w:rFonts w:asciiTheme="minorHAnsi" w:eastAsia="Aptos" w:hAnsiTheme="minorHAnsi" w:cs="Aptos"/>
          <w:color w:val="000000"/>
          <w:sz w:val="20"/>
          <w:szCs w:val="20"/>
        </w:rPr>
      </w:pPr>
    </w:p>
    <w:p w14:paraId="0000000E" w14:textId="255BF4C9" w:rsidR="00042F7A" w:rsidRPr="007A5A65" w:rsidRDefault="007A5A65">
      <w:pPr>
        <w:spacing w:after="0"/>
        <w:rPr>
          <w:rFonts w:asciiTheme="minorHAnsi" w:eastAsia="Aptos" w:hAnsiTheme="minorHAnsi" w:cs="Aptos"/>
          <w:color w:val="000000"/>
          <w:sz w:val="20"/>
          <w:szCs w:val="20"/>
        </w:rPr>
      </w:pPr>
      <w:r w:rsidRPr="00F80DF3">
        <w:rPr>
          <w:rFonts w:asciiTheme="minorHAnsi" w:eastAsia="Aptos" w:hAnsiTheme="minorHAnsi" w:cs="Aptos"/>
          <w:color w:val="000000"/>
          <w:sz w:val="20"/>
          <w:szCs w:val="20"/>
        </w:rPr>
        <w:t>I</w:t>
      </w:r>
      <w:r w:rsidR="001E52B8" w:rsidRPr="00F80DF3">
        <w:rPr>
          <w:rFonts w:asciiTheme="minorHAnsi" w:eastAsia="Aptos" w:hAnsiTheme="minorHAnsi" w:cs="Aptos"/>
          <w:color w:val="000000"/>
          <w:sz w:val="20"/>
          <w:szCs w:val="20"/>
        </w:rPr>
        <w:t xml:space="preserve">t is envisaged that </w:t>
      </w:r>
      <w:r w:rsidR="001E52B8" w:rsidRPr="00D300FF">
        <w:rPr>
          <w:rFonts w:asciiTheme="minorHAnsi" w:eastAsia="Aptos" w:hAnsiTheme="minorHAnsi" w:cs="Aptos"/>
          <w:color w:val="000000"/>
          <w:sz w:val="20"/>
          <w:szCs w:val="20"/>
        </w:rPr>
        <w:t>the Government will need</w:t>
      </w:r>
      <w:r w:rsidR="001E52B8" w:rsidRPr="00F80DF3">
        <w:rPr>
          <w:rFonts w:asciiTheme="minorHAnsi" w:eastAsia="Aptos" w:hAnsiTheme="minorHAnsi" w:cs="Aptos"/>
          <w:color w:val="000000"/>
          <w:sz w:val="20"/>
          <w:szCs w:val="20"/>
        </w:rPr>
        <w:t xml:space="preserve"> </w:t>
      </w:r>
      <w:r w:rsidRPr="00F80DF3">
        <w:rPr>
          <w:rFonts w:asciiTheme="minorHAnsi" w:eastAsia="Aptos" w:hAnsiTheme="minorHAnsi" w:cs="Aptos"/>
          <w:color w:val="000000"/>
          <w:sz w:val="20"/>
          <w:szCs w:val="20"/>
        </w:rPr>
        <w:t>s</w:t>
      </w:r>
      <w:r w:rsidR="001E52B8" w:rsidRPr="00F80DF3">
        <w:rPr>
          <w:rFonts w:asciiTheme="minorHAnsi" w:eastAsia="Aptos" w:hAnsiTheme="minorHAnsi" w:cs="Aptos"/>
          <w:color w:val="000000"/>
          <w:sz w:val="20"/>
          <w:szCs w:val="20"/>
        </w:rPr>
        <w:t>upporting</w:t>
      </w:r>
      <w:r w:rsidR="001E52B8" w:rsidRPr="007A5A65">
        <w:rPr>
          <w:rFonts w:asciiTheme="minorHAnsi" w:eastAsia="Aptos" w:hAnsiTheme="minorHAnsi" w:cs="Aptos"/>
          <w:color w:val="000000"/>
          <w:sz w:val="20"/>
          <w:szCs w:val="20"/>
        </w:rPr>
        <w:t xml:space="preserve"> information about the value proposition of investment in ESO both to astronomy and to the Australian community in general, and the implications of a decision not to invest in ESO</w:t>
      </w:r>
      <w:r>
        <w:rPr>
          <w:rFonts w:asciiTheme="minorHAnsi" w:eastAsia="Aptos" w:hAnsiTheme="minorHAnsi" w:cs="Aptos"/>
          <w:color w:val="000000"/>
          <w:sz w:val="20"/>
          <w:szCs w:val="20"/>
        </w:rPr>
        <w:t xml:space="preserve"> which could either include making investments in other facilities or not providing any further investment into optical astronomy in Australia. </w:t>
      </w:r>
    </w:p>
    <w:p w14:paraId="00000011" w14:textId="77777777" w:rsidR="00042F7A" w:rsidRPr="007A5A65" w:rsidRDefault="00042F7A">
      <w:pPr>
        <w:spacing w:after="0"/>
        <w:rPr>
          <w:rFonts w:asciiTheme="minorHAnsi" w:eastAsia="Aptos" w:hAnsiTheme="minorHAnsi" w:cs="Aptos"/>
          <w:color w:val="000000"/>
          <w:sz w:val="20"/>
          <w:szCs w:val="20"/>
        </w:rPr>
      </w:pPr>
    </w:p>
    <w:p w14:paraId="00000012" w14:textId="33D7E880" w:rsidR="00042F7A" w:rsidRPr="007A5A65" w:rsidRDefault="001E52B8">
      <w:pPr>
        <w:spacing w:after="0"/>
        <w:rPr>
          <w:rFonts w:asciiTheme="minorHAnsi" w:eastAsia="Aptos" w:hAnsiTheme="minorHAnsi" w:cs="Aptos"/>
          <w:color w:val="000000"/>
          <w:sz w:val="20"/>
          <w:szCs w:val="20"/>
        </w:rPr>
      </w:pPr>
      <w:r w:rsidRPr="007A5A65">
        <w:rPr>
          <w:rFonts w:asciiTheme="minorHAnsi" w:eastAsia="Aptos" w:hAnsiTheme="minorHAnsi" w:cs="Aptos"/>
          <w:color w:val="000000"/>
          <w:sz w:val="20"/>
          <w:szCs w:val="20"/>
        </w:rPr>
        <w:t xml:space="preserve">To </w:t>
      </w:r>
      <w:r w:rsidR="005029DB">
        <w:rPr>
          <w:rFonts w:asciiTheme="minorHAnsi" w:eastAsia="Aptos" w:hAnsiTheme="minorHAnsi" w:cs="Aptos"/>
          <w:color w:val="000000"/>
          <w:sz w:val="20"/>
          <w:szCs w:val="20"/>
        </w:rPr>
        <w:t>assist with</w:t>
      </w:r>
      <w:r w:rsidR="005029DB" w:rsidRPr="007A5A65">
        <w:rPr>
          <w:rFonts w:asciiTheme="minorHAnsi" w:eastAsia="Aptos" w:hAnsiTheme="minorHAnsi" w:cs="Aptos"/>
          <w:color w:val="000000"/>
          <w:sz w:val="20"/>
          <w:szCs w:val="20"/>
        </w:rPr>
        <w:t xml:space="preserve"> </w:t>
      </w:r>
      <w:r w:rsidRPr="007A5A65">
        <w:rPr>
          <w:rFonts w:asciiTheme="minorHAnsi" w:eastAsia="Aptos" w:hAnsiTheme="minorHAnsi" w:cs="Aptos"/>
          <w:color w:val="000000"/>
          <w:sz w:val="20"/>
          <w:szCs w:val="20"/>
        </w:rPr>
        <w:t xml:space="preserve">this, AAL has </w:t>
      </w:r>
      <w:r w:rsidRPr="003F3649">
        <w:rPr>
          <w:rFonts w:asciiTheme="minorHAnsi" w:eastAsia="Aptos" w:hAnsiTheme="minorHAnsi" w:cs="Aptos"/>
          <w:color w:val="000000"/>
          <w:sz w:val="20"/>
          <w:szCs w:val="20"/>
        </w:rPr>
        <w:t>commenced a series of tracks of work, in</w:t>
      </w:r>
      <w:r w:rsidRPr="007A5A65">
        <w:rPr>
          <w:rFonts w:asciiTheme="minorHAnsi" w:eastAsia="Aptos" w:hAnsiTheme="minorHAnsi" w:cs="Aptos"/>
          <w:color w:val="000000"/>
          <w:sz w:val="20"/>
          <w:szCs w:val="20"/>
        </w:rPr>
        <w:t>cluding:</w:t>
      </w:r>
    </w:p>
    <w:p w14:paraId="00000013" w14:textId="0FE8FA7E" w:rsidR="00042F7A" w:rsidRPr="007A5A65" w:rsidRDefault="001E52B8">
      <w:pPr>
        <w:numPr>
          <w:ilvl w:val="0"/>
          <w:numId w:val="6"/>
        </w:numPr>
        <w:pBdr>
          <w:top w:val="nil"/>
          <w:left w:val="nil"/>
          <w:bottom w:val="nil"/>
          <w:right w:val="nil"/>
          <w:between w:val="nil"/>
        </w:pBdr>
        <w:spacing w:after="0"/>
        <w:rPr>
          <w:rFonts w:asciiTheme="minorHAnsi" w:eastAsia="Aptos" w:hAnsiTheme="minorHAnsi" w:cs="Aptos"/>
          <w:color w:val="000000"/>
          <w:sz w:val="20"/>
          <w:szCs w:val="20"/>
        </w:rPr>
      </w:pPr>
      <w:r w:rsidRPr="007A5A65">
        <w:rPr>
          <w:rFonts w:asciiTheme="minorHAnsi" w:eastAsia="Aptos" w:hAnsiTheme="minorHAnsi" w:cs="Aptos"/>
          <w:color w:val="000000"/>
          <w:sz w:val="20"/>
          <w:szCs w:val="20"/>
        </w:rPr>
        <w:t xml:space="preserve">identifying opportunities for </w:t>
      </w:r>
      <w:r w:rsidRPr="007A5A65">
        <w:rPr>
          <w:rFonts w:asciiTheme="minorHAnsi" w:eastAsia="Aptos" w:hAnsiTheme="minorHAnsi" w:cs="Aptos"/>
          <w:b/>
          <w:color w:val="000000"/>
          <w:sz w:val="20"/>
          <w:szCs w:val="20"/>
        </w:rPr>
        <w:t>in-kind contributions</w:t>
      </w:r>
      <w:r w:rsidRPr="007A5A65">
        <w:rPr>
          <w:rFonts w:asciiTheme="minorHAnsi" w:eastAsia="Aptos" w:hAnsiTheme="minorHAnsi" w:cs="Aptos"/>
          <w:color w:val="000000"/>
          <w:sz w:val="20"/>
          <w:szCs w:val="20"/>
        </w:rPr>
        <w:t xml:space="preserve"> by Australia</w:t>
      </w:r>
      <w:r w:rsidR="007A5A65">
        <w:rPr>
          <w:rFonts w:asciiTheme="minorHAnsi" w:eastAsia="Aptos" w:hAnsiTheme="minorHAnsi" w:cs="Aptos"/>
          <w:color w:val="000000"/>
          <w:sz w:val="20"/>
          <w:szCs w:val="20"/>
        </w:rPr>
        <w:t xml:space="preserve">n </w:t>
      </w:r>
      <w:proofErr w:type="spellStart"/>
      <w:r w:rsidR="007A5A65">
        <w:rPr>
          <w:rFonts w:asciiTheme="minorHAnsi" w:eastAsia="Aptos" w:hAnsiTheme="minorHAnsi" w:cs="Aptos"/>
          <w:color w:val="000000"/>
          <w:sz w:val="20"/>
          <w:szCs w:val="20"/>
        </w:rPr>
        <w:t>organisations</w:t>
      </w:r>
      <w:proofErr w:type="spellEnd"/>
      <w:r w:rsidRPr="007A5A65">
        <w:rPr>
          <w:rFonts w:asciiTheme="minorHAnsi" w:eastAsia="Aptos" w:hAnsiTheme="minorHAnsi" w:cs="Aptos"/>
          <w:color w:val="000000"/>
          <w:sz w:val="20"/>
          <w:szCs w:val="20"/>
        </w:rPr>
        <w:t xml:space="preserve"> that </w:t>
      </w:r>
      <w:r w:rsidR="00B83EEC">
        <w:rPr>
          <w:rFonts w:asciiTheme="minorHAnsi" w:eastAsia="Aptos" w:hAnsiTheme="minorHAnsi" w:cs="Aptos"/>
          <w:color w:val="000000"/>
          <w:sz w:val="20"/>
          <w:szCs w:val="20"/>
        </w:rPr>
        <w:t xml:space="preserve">could </w:t>
      </w:r>
      <w:r w:rsidRPr="007A5A65">
        <w:rPr>
          <w:rFonts w:asciiTheme="minorHAnsi" w:eastAsia="Aptos" w:hAnsiTheme="minorHAnsi" w:cs="Aptos"/>
          <w:color w:val="000000"/>
          <w:sz w:val="20"/>
          <w:szCs w:val="20"/>
        </w:rPr>
        <w:t>deliver on broader Australian Government policy priorities and ensure that maximum funding stays 'on shore' and has the potential to deliver spillover benefits to the Australian economy and science efforts</w:t>
      </w:r>
      <w:r w:rsidR="007A5A65">
        <w:rPr>
          <w:rFonts w:asciiTheme="minorHAnsi" w:eastAsia="Aptos" w:hAnsiTheme="minorHAnsi" w:cs="Aptos"/>
          <w:color w:val="000000"/>
          <w:sz w:val="20"/>
          <w:szCs w:val="20"/>
        </w:rPr>
        <w:t>.</w:t>
      </w:r>
      <w:r w:rsidRPr="007A5A65">
        <w:rPr>
          <w:rFonts w:asciiTheme="minorHAnsi" w:eastAsia="Aptos" w:hAnsiTheme="minorHAnsi" w:cs="Aptos"/>
          <w:color w:val="000000"/>
          <w:sz w:val="20"/>
          <w:szCs w:val="20"/>
        </w:rPr>
        <w:t xml:space="preserve"> </w:t>
      </w:r>
      <w:r w:rsidR="007A5A65">
        <w:rPr>
          <w:rFonts w:asciiTheme="minorHAnsi" w:eastAsia="Aptos" w:hAnsiTheme="minorHAnsi" w:cs="Aptos"/>
          <w:color w:val="000000"/>
          <w:sz w:val="20"/>
          <w:szCs w:val="20"/>
        </w:rPr>
        <w:t>A</w:t>
      </w:r>
      <w:r w:rsidRPr="007A5A65">
        <w:rPr>
          <w:rFonts w:asciiTheme="minorHAnsi" w:eastAsia="Aptos" w:hAnsiTheme="minorHAnsi" w:cs="Aptos"/>
          <w:color w:val="000000"/>
          <w:sz w:val="20"/>
          <w:szCs w:val="20"/>
        </w:rPr>
        <w:t xml:space="preserve"> small working group</w:t>
      </w:r>
      <w:r w:rsidR="007A5A65">
        <w:rPr>
          <w:rFonts w:asciiTheme="minorHAnsi" w:eastAsia="Aptos" w:hAnsiTheme="minorHAnsi" w:cs="Aptos"/>
          <w:color w:val="000000"/>
          <w:sz w:val="20"/>
          <w:szCs w:val="20"/>
        </w:rPr>
        <w:t>,</w:t>
      </w:r>
      <w:r w:rsidRPr="007A5A65">
        <w:rPr>
          <w:rFonts w:asciiTheme="minorHAnsi" w:eastAsia="Aptos" w:hAnsiTheme="minorHAnsi" w:cs="Aptos"/>
          <w:color w:val="000000"/>
          <w:sz w:val="20"/>
          <w:szCs w:val="20"/>
        </w:rPr>
        <w:t xml:space="preserve"> </w:t>
      </w:r>
      <w:r w:rsidR="007A5A65">
        <w:rPr>
          <w:rFonts w:asciiTheme="minorHAnsi" w:eastAsia="Aptos" w:hAnsiTheme="minorHAnsi" w:cs="Aptos"/>
          <w:color w:val="000000"/>
          <w:sz w:val="20"/>
          <w:szCs w:val="20"/>
        </w:rPr>
        <w:t>ch</w:t>
      </w:r>
      <w:r w:rsidRPr="007A5A65">
        <w:rPr>
          <w:rFonts w:asciiTheme="minorHAnsi" w:eastAsia="Aptos" w:hAnsiTheme="minorHAnsi" w:cs="Aptos"/>
          <w:color w:val="000000"/>
          <w:sz w:val="20"/>
          <w:szCs w:val="20"/>
        </w:rPr>
        <w:t>aired by AAL</w:t>
      </w:r>
      <w:r w:rsidR="007A5A65">
        <w:rPr>
          <w:rFonts w:asciiTheme="minorHAnsi" w:eastAsia="Aptos" w:hAnsiTheme="minorHAnsi" w:cs="Aptos"/>
          <w:color w:val="000000"/>
          <w:sz w:val="20"/>
          <w:szCs w:val="20"/>
        </w:rPr>
        <w:t>, will oversee this process</w:t>
      </w:r>
      <w:r w:rsidR="007D74E4">
        <w:rPr>
          <w:rFonts w:asciiTheme="minorHAnsi" w:eastAsia="Aptos" w:hAnsiTheme="minorHAnsi" w:cs="Aptos"/>
          <w:color w:val="000000"/>
          <w:sz w:val="20"/>
          <w:szCs w:val="20"/>
        </w:rPr>
        <w:t xml:space="preserve"> (additional detail on the </w:t>
      </w:r>
      <w:proofErr w:type="spellStart"/>
      <w:r w:rsidR="007D74E4">
        <w:rPr>
          <w:rFonts w:asciiTheme="minorHAnsi" w:eastAsia="Aptos" w:hAnsiTheme="minorHAnsi" w:cs="Aptos"/>
          <w:color w:val="000000"/>
          <w:sz w:val="20"/>
          <w:szCs w:val="20"/>
        </w:rPr>
        <w:t>ToRs</w:t>
      </w:r>
      <w:proofErr w:type="spellEnd"/>
      <w:r w:rsidR="007D74E4">
        <w:rPr>
          <w:rFonts w:asciiTheme="minorHAnsi" w:eastAsia="Aptos" w:hAnsiTheme="minorHAnsi" w:cs="Aptos"/>
          <w:color w:val="000000"/>
          <w:sz w:val="20"/>
          <w:szCs w:val="20"/>
        </w:rPr>
        <w:t xml:space="preserve"> are in </w:t>
      </w:r>
      <w:r w:rsidR="007D74E4" w:rsidRPr="0095351A">
        <w:rPr>
          <w:rFonts w:asciiTheme="minorHAnsi" w:eastAsia="Aptos" w:hAnsiTheme="minorHAnsi" w:cs="Aptos"/>
          <w:b/>
          <w:bCs/>
          <w:color w:val="000000"/>
          <w:sz w:val="20"/>
          <w:szCs w:val="20"/>
        </w:rPr>
        <w:t>Attachment A</w:t>
      </w:r>
      <w:r w:rsidR="007D74E4">
        <w:rPr>
          <w:rFonts w:asciiTheme="minorHAnsi" w:eastAsia="Aptos" w:hAnsiTheme="minorHAnsi" w:cs="Aptos"/>
          <w:color w:val="000000"/>
          <w:sz w:val="20"/>
          <w:szCs w:val="20"/>
        </w:rPr>
        <w:t>)</w:t>
      </w:r>
    </w:p>
    <w:p w14:paraId="084925B7" w14:textId="14A5D036" w:rsidR="001E52B8" w:rsidRDefault="001E52B8" w:rsidP="1E2EED48">
      <w:pPr>
        <w:numPr>
          <w:ilvl w:val="0"/>
          <w:numId w:val="6"/>
        </w:numPr>
        <w:pBdr>
          <w:top w:val="nil"/>
          <w:left w:val="nil"/>
          <w:bottom w:val="nil"/>
          <w:right w:val="nil"/>
          <w:between w:val="nil"/>
        </w:pBdr>
        <w:spacing w:after="0"/>
        <w:rPr>
          <w:rFonts w:ascii="Aptos" w:eastAsia="Aptos" w:hAnsi="Aptos" w:cs="Aptos"/>
          <w:sz w:val="20"/>
          <w:szCs w:val="20"/>
        </w:rPr>
      </w:pPr>
      <w:r w:rsidRPr="1E2EED48">
        <w:rPr>
          <w:rFonts w:asciiTheme="minorHAnsi" w:eastAsia="Aptos" w:hAnsiTheme="minorHAnsi" w:cs="Aptos"/>
          <w:color w:val="000000" w:themeColor="text1"/>
          <w:sz w:val="20"/>
          <w:szCs w:val="20"/>
        </w:rPr>
        <w:t xml:space="preserve">gathering information and data about </w:t>
      </w:r>
      <w:r w:rsidRPr="1E2EED48">
        <w:rPr>
          <w:rFonts w:asciiTheme="minorHAnsi" w:eastAsia="Aptos" w:hAnsiTheme="minorHAnsi" w:cs="Aptos"/>
          <w:b/>
          <w:bCs/>
          <w:color w:val="000000" w:themeColor="text1"/>
          <w:sz w:val="20"/>
          <w:szCs w:val="20"/>
        </w:rPr>
        <w:t>alternative options</w:t>
      </w:r>
      <w:r w:rsidRPr="1E2EED48">
        <w:rPr>
          <w:rFonts w:asciiTheme="minorHAnsi" w:eastAsia="Aptos" w:hAnsiTheme="minorHAnsi" w:cs="Aptos"/>
          <w:color w:val="000000" w:themeColor="text1"/>
          <w:sz w:val="20"/>
          <w:szCs w:val="20"/>
        </w:rPr>
        <w:t xml:space="preserve"> for supporting access to large optical telescopes</w:t>
      </w:r>
      <w:r w:rsidR="007A5A65" w:rsidRPr="1E2EED48">
        <w:rPr>
          <w:rFonts w:asciiTheme="minorHAnsi" w:eastAsia="Aptos" w:hAnsiTheme="minorHAnsi" w:cs="Aptos"/>
          <w:color w:val="000000" w:themeColor="text1"/>
          <w:sz w:val="20"/>
          <w:szCs w:val="20"/>
        </w:rPr>
        <w:t xml:space="preserve">, including options for making investments in other facilities or not providing any further investment into optical astronomy in Australia. </w:t>
      </w:r>
      <w:r w:rsidR="571ADA73" w:rsidRPr="1E2EED48">
        <w:rPr>
          <w:rFonts w:ascii="Aptos" w:eastAsia="Aptos" w:hAnsi="Aptos" w:cs="Aptos"/>
          <w:color w:val="000000" w:themeColor="text1"/>
          <w:sz w:val="20"/>
          <w:szCs w:val="20"/>
        </w:rPr>
        <w:t xml:space="preserve">AAL is being assisted in this work by A/Prof. Emily Wisnioski (ANU), co-chair of the Decadal Plan Working Group 2.1 for International and Space Facilities, informed by their </w:t>
      </w:r>
      <w:hyperlink r:id="rId8">
        <w:r w:rsidR="571ADA73" w:rsidRPr="1E2EED48">
          <w:rPr>
            <w:rStyle w:val="Hyperlink"/>
            <w:rFonts w:ascii="Aptos" w:eastAsia="Aptos" w:hAnsi="Aptos" w:cs="Aptos"/>
            <w:sz w:val="20"/>
            <w:szCs w:val="20"/>
          </w:rPr>
          <w:t>White Paper</w:t>
        </w:r>
      </w:hyperlink>
    </w:p>
    <w:p w14:paraId="00000015" w14:textId="66FE4E90" w:rsidR="00042F7A" w:rsidRPr="007A5A65" w:rsidRDefault="001E52B8" w:rsidP="007A5A65">
      <w:pPr>
        <w:numPr>
          <w:ilvl w:val="0"/>
          <w:numId w:val="6"/>
        </w:numPr>
        <w:pBdr>
          <w:top w:val="nil"/>
          <w:left w:val="nil"/>
          <w:bottom w:val="nil"/>
          <w:right w:val="nil"/>
          <w:between w:val="nil"/>
        </w:pBdr>
        <w:spacing w:after="0"/>
        <w:rPr>
          <w:rFonts w:asciiTheme="minorHAnsi" w:eastAsia="Aptos" w:hAnsiTheme="minorHAnsi" w:cs="Aptos"/>
          <w:color w:val="000000"/>
          <w:sz w:val="20"/>
          <w:szCs w:val="20"/>
        </w:rPr>
      </w:pPr>
      <w:r w:rsidRPr="007A5A65">
        <w:rPr>
          <w:rFonts w:asciiTheme="minorHAnsi" w:eastAsia="Aptos" w:hAnsiTheme="minorHAnsi" w:cs="Aptos"/>
          <w:b/>
          <w:color w:val="000000"/>
          <w:sz w:val="20"/>
          <w:szCs w:val="20"/>
        </w:rPr>
        <w:t>synergies</w:t>
      </w:r>
      <w:r w:rsidRPr="007A5A65">
        <w:rPr>
          <w:rFonts w:asciiTheme="minorHAnsi" w:eastAsia="Aptos" w:hAnsiTheme="minorHAnsi" w:cs="Aptos"/>
          <w:color w:val="000000"/>
          <w:sz w:val="20"/>
          <w:szCs w:val="20"/>
        </w:rPr>
        <w:t xml:space="preserve"> between access to optical facilities and other astronomical facilities (including radio</w:t>
      </w:r>
      <w:r w:rsidR="007D74E4">
        <w:rPr>
          <w:rFonts w:asciiTheme="minorHAnsi" w:eastAsia="Aptos" w:hAnsiTheme="minorHAnsi" w:cs="Aptos"/>
          <w:color w:val="000000"/>
          <w:sz w:val="20"/>
          <w:szCs w:val="20"/>
        </w:rPr>
        <w:t>,</w:t>
      </w:r>
      <w:r w:rsidRPr="007A5A65">
        <w:rPr>
          <w:rFonts w:asciiTheme="minorHAnsi" w:eastAsia="Aptos" w:hAnsiTheme="minorHAnsi" w:cs="Aptos"/>
          <w:color w:val="000000"/>
          <w:sz w:val="20"/>
          <w:szCs w:val="20"/>
        </w:rPr>
        <w:t xml:space="preserve"> gravitational wave astronomy</w:t>
      </w:r>
      <w:r w:rsidR="007D74E4">
        <w:rPr>
          <w:rFonts w:asciiTheme="minorHAnsi" w:eastAsia="Aptos" w:hAnsiTheme="minorHAnsi" w:cs="Aptos"/>
          <w:color w:val="000000"/>
          <w:sz w:val="20"/>
          <w:szCs w:val="20"/>
        </w:rPr>
        <w:t xml:space="preserve"> and high energy physics</w:t>
      </w:r>
      <w:r w:rsidRPr="007A5A65">
        <w:rPr>
          <w:rFonts w:asciiTheme="minorHAnsi" w:eastAsia="Aptos" w:hAnsiTheme="minorHAnsi" w:cs="Aptos"/>
          <w:color w:val="000000"/>
          <w:sz w:val="20"/>
          <w:szCs w:val="20"/>
        </w:rPr>
        <w:t xml:space="preserve">) through the AAL </w:t>
      </w:r>
      <w:hyperlink r:id="rId9">
        <w:r w:rsidRPr="007A5A65">
          <w:rPr>
            <w:rFonts w:asciiTheme="minorHAnsi" w:eastAsia="Aptos" w:hAnsiTheme="minorHAnsi" w:cs="Aptos"/>
            <w:color w:val="467886"/>
            <w:sz w:val="20"/>
            <w:szCs w:val="20"/>
            <w:u w:val="single"/>
          </w:rPr>
          <w:t>Astronomy Science Advisory Committee</w:t>
        </w:r>
      </w:hyperlink>
      <w:r w:rsidRPr="007A5A65">
        <w:rPr>
          <w:rFonts w:asciiTheme="minorHAnsi" w:eastAsia="Calibri" w:hAnsiTheme="minorHAnsi" w:cs="Calibri"/>
          <w:color w:val="000000"/>
          <w:sz w:val="20"/>
          <w:szCs w:val="20"/>
        </w:rPr>
        <w:t xml:space="preserve">  </w:t>
      </w:r>
      <w:r w:rsidRPr="007A5A65">
        <w:rPr>
          <w:rFonts w:asciiTheme="minorHAnsi" w:eastAsia="Aptos" w:hAnsiTheme="minorHAnsi" w:cs="Aptos"/>
          <w:color w:val="000000"/>
          <w:sz w:val="20"/>
          <w:szCs w:val="20"/>
        </w:rPr>
        <w:t>chaired by Andy Casey</w:t>
      </w:r>
    </w:p>
    <w:p w14:paraId="00000016" w14:textId="77777777" w:rsidR="00042F7A" w:rsidRPr="007A5A65" w:rsidRDefault="001E52B8">
      <w:pPr>
        <w:numPr>
          <w:ilvl w:val="0"/>
          <w:numId w:val="6"/>
        </w:numPr>
        <w:pBdr>
          <w:top w:val="nil"/>
          <w:left w:val="nil"/>
          <w:bottom w:val="nil"/>
          <w:right w:val="nil"/>
          <w:between w:val="nil"/>
        </w:pBdr>
        <w:spacing w:after="0"/>
        <w:rPr>
          <w:rFonts w:asciiTheme="minorHAnsi" w:eastAsia="Aptos" w:hAnsiTheme="minorHAnsi" w:cs="Aptos"/>
          <w:color w:val="000000"/>
          <w:sz w:val="20"/>
          <w:szCs w:val="20"/>
        </w:rPr>
      </w:pPr>
      <w:r w:rsidRPr="007A5A65">
        <w:rPr>
          <w:rFonts w:asciiTheme="minorHAnsi" w:eastAsia="Aptos" w:hAnsiTheme="minorHAnsi" w:cs="Aptos"/>
          <w:color w:val="000000"/>
          <w:sz w:val="20"/>
          <w:szCs w:val="20"/>
        </w:rPr>
        <w:t xml:space="preserve">assessing opportunities for </w:t>
      </w:r>
      <w:r w:rsidRPr="007A5A65">
        <w:rPr>
          <w:rFonts w:asciiTheme="minorHAnsi" w:eastAsia="Aptos" w:hAnsiTheme="minorHAnsi" w:cs="Aptos"/>
          <w:b/>
          <w:color w:val="000000"/>
          <w:sz w:val="20"/>
          <w:szCs w:val="20"/>
        </w:rPr>
        <w:t xml:space="preserve">industry engagement </w:t>
      </w:r>
      <w:r w:rsidRPr="007A5A65">
        <w:rPr>
          <w:rFonts w:asciiTheme="minorHAnsi" w:eastAsia="Aptos" w:hAnsiTheme="minorHAnsi" w:cs="Aptos"/>
          <w:color w:val="000000"/>
          <w:sz w:val="20"/>
          <w:szCs w:val="20"/>
        </w:rPr>
        <w:t>and</w:t>
      </w:r>
      <w:r w:rsidRPr="007A5A65">
        <w:rPr>
          <w:rFonts w:asciiTheme="minorHAnsi" w:eastAsia="Aptos" w:hAnsiTheme="minorHAnsi" w:cs="Aptos"/>
          <w:b/>
          <w:color w:val="000000"/>
          <w:sz w:val="20"/>
          <w:szCs w:val="20"/>
        </w:rPr>
        <w:t xml:space="preserve"> activation </w:t>
      </w:r>
      <w:r w:rsidRPr="007A5A65">
        <w:rPr>
          <w:rFonts w:asciiTheme="minorHAnsi" w:eastAsia="Aptos" w:hAnsiTheme="minorHAnsi" w:cs="Aptos"/>
          <w:color w:val="000000"/>
          <w:sz w:val="20"/>
          <w:szCs w:val="20"/>
        </w:rPr>
        <w:t xml:space="preserve">through the AAL </w:t>
      </w:r>
      <w:hyperlink r:id="rId10">
        <w:r w:rsidRPr="007A5A65">
          <w:rPr>
            <w:rFonts w:asciiTheme="minorHAnsi" w:eastAsia="Aptos" w:hAnsiTheme="minorHAnsi" w:cs="Aptos"/>
            <w:color w:val="467886"/>
            <w:sz w:val="20"/>
            <w:szCs w:val="20"/>
            <w:u w:val="single"/>
          </w:rPr>
          <w:t>Industry Engagement Advisory Committee</w:t>
        </w:r>
      </w:hyperlink>
      <w:r w:rsidRPr="007A5A65">
        <w:rPr>
          <w:rFonts w:asciiTheme="minorHAnsi" w:eastAsia="Calibri" w:hAnsiTheme="minorHAnsi" w:cs="Calibri"/>
          <w:color w:val="000000"/>
          <w:sz w:val="20"/>
          <w:szCs w:val="20"/>
        </w:rPr>
        <w:t xml:space="preserve"> – </w:t>
      </w:r>
      <w:r w:rsidRPr="007A5A65">
        <w:rPr>
          <w:rFonts w:asciiTheme="minorHAnsi" w:eastAsia="Aptos" w:hAnsiTheme="minorHAnsi" w:cs="Aptos"/>
          <w:color w:val="000000"/>
          <w:sz w:val="20"/>
          <w:szCs w:val="20"/>
        </w:rPr>
        <w:t>chaired by Simon Ellingsen</w:t>
      </w:r>
    </w:p>
    <w:p w14:paraId="00000017" w14:textId="77777777" w:rsidR="00042F7A" w:rsidRPr="007A5A65" w:rsidRDefault="00042F7A">
      <w:pPr>
        <w:spacing w:after="0"/>
        <w:rPr>
          <w:rFonts w:asciiTheme="minorHAnsi" w:eastAsia="Aptos" w:hAnsiTheme="minorHAnsi" w:cs="Aptos"/>
          <w:color w:val="000000"/>
          <w:sz w:val="20"/>
          <w:szCs w:val="20"/>
        </w:rPr>
      </w:pPr>
    </w:p>
    <w:p w14:paraId="00B2A65E" w14:textId="72AD9904" w:rsidR="007D74E4" w:rsidRDefault="00B83EEC">
      <w:pPr>
        <w:spacing w:after="0"/>
        <w:rPr>
          <w:rFonts w:asciiTheme="minorHAnsi" w:eastAsia="Aptos" w:hAnsiTheme="minorHAnsi" w:cs="Aptos"/>
          <w:color w:val="000000"/>
          <w:sz w:val="20"/>
          <w:szCs w:val="20"/>
        </w:rPr>
      </w:pPr>
      <w:r>
        <w:rPr>
          <w:rFonts w:asciiTheme="minorHAnsi" w:eastAsia="Aptos" w:hAnsiTheme="minorHAnsi" w:cs="Aptos"/>
          <w:color w:val="000000"/>
          <w:sz w:val="20"/>
          <w:szCs w:val="20"/>
        </w:rPr>
        <w:t xml:space="preserve">The Department has indicated it would welcome a submission from </w:t>
      </w:r>
      <w:r w:rsidR="001E52B8" w:rsidRPr="007A5A65">
        <w:rPr>
          <w:rFonts w:asciiTheme="minorHAnsi" w:eastAsia="Aptos" w:hAnsiTheme="minorHAnsi" w:cs="Aptos"/>
          <w:color w:val="000000"/>
          <w:sz w:val="20"/>
          <w:szCs w:val="20"/>
        </w:rPr>
        <w:t xml:space="preserve">AAL </w:t>
      </w:r>
      <w:r>
        <w:rPr>
          <w:rFonts w:asciiTheme="minorHAnsi" w:eastAsia="Aptos" w:hAnsiTheme="minorHAnsi" w:cs="Aptos"/>
          <w:color w:val="000000"/>
          <w:sz w:val="20"/>
          <w:szCs w:val="20"/>
        </w:rPr>
        <w:t xml:space="preserve">by August to inform its broader advice and analysis to </w:t>
      </w:r>
      <w:r w:rsidR="001E52B8" w:rsidRPr="007A5A65">
        <w:rPr>
          <w:rFonts w:asciiTheme="minorHAnsi" w:eastAsia="Aptos" w:hAnsiTheme="minorHAnsi" w:cs="Aptos"/>
          <w:color w:val="000000"/>
          <w:sz w:val="20"/>
          <w:szCs w:val="20"/>
        </w:rPr>
        <w:t>Ministers and Government about the costs and benefits of membership to ESO</w:t>
      </w:r>
      <w:r w:rsidR="003E7BC1">
        <w:rPr>
          <w:rFonts w:asciiTheme="minorHAnsi" w:eastAsia="Aptos" w:hAnsiTheme="minorHAnsi" w:cs="Aptos"/>
          <w:color w:val="000000"/>
          <w:sz w:val="20"/>
          <w:szCs w:val="20"/>
        </w:rPr>
        <w:t xml:space="preserve"> and alternative options</w:t>
      </w:r>
      <w:r w:rsidR="001E52B8" w:rsidRPr="007A5A65">
        <w:rPr>
          <w:rFonts w:asciiTheme="minorHAnsi" w:eastAsia="Aptos" w:hAnsiTheme="minorHAnsi" w:cs="Aptos"/>
          <w:color w:val="000000"/>
          <w:sz w:val="20"/>
          <w:szCs w:val="20"/>
        </w:rPr>
        <w:t>.</w:t>
      </w:r>
      <w:r w:rsidR="007D74E4">
        <w:rPr>
          <w:rFonts w:asciiTheme="minorHAnsi" w:eastAsia="Aptos" w:hAnsiTheme="minorHAnsi" w:cs="Aptos"/>
          <w:color w:val="000000"/>
          <w:sz w:val="20"/>
          <w:szCs w:val="20"/>
        </w:rPr>
        <w:t xml:space="preserve"> </w:t>
      </w:r>
    </w:p>
    <w:p w14:paraId="7C85CBA6" w14:textId="77777777" w:rsidR="007D74E4" w:rsidRDefault="007D74E4">
      <w:pPr>
        <w:spacing w:after="0"/>
        <w:rPr>
          <w:rFonts w:asciiTheme="minorHAnsi" w:eastAsia="Aptos" w:hAnsiTheme="minorHAnsi" w:cs="Aptos"/>
          <w:color w:val="000000"/>
          <w:sz w:val="20"/>
          <w:szCs w:val="20"/>
        </w:rPr>
      </w:pPr>
    </w:p>
    <w:p w14:paraId="00000019" w14:textId="288EA51E" w:rsidR="007D74E4" w:rsidRDefault="007D74E4">
      <w:pPr>
        <w:rPr>
          <w:rFonts w:asciiTheme="minorHAnsi" w:eastAsia="Aptos" w:hAnsiTheme="minorHAnsi" w:cs="Aptos"/>
          <w:b/>
          <w:color w:val="000000"/>
          <w:sz w:val="20"/>
          <w:szCs w:val="20"/>
        </w:rPr>
      </w:pPr>
      <w:r>
        <w:rPr>
          <w:rFonts w:asciiTheme="minorHAnsi" w:eastAsia="Aptos" w:hAnsiTheme="minorHAnsi" w:cs="Aptos"/>
          <w:b/>
          <w:color w:val="000000"/>
          <w:sz w:val="20"/>
          <w:szCs w:val="20"/>
        </w:rPr>
        <w:br w:type="page"/>
      </w:r>
    </w:p>
    <w:p w14:paraId="23FD54D5" w14:textId="77777777" w:rsidR="007D74E4" w:rsidRPr="007D74E4" w:rsidRDefault="007D74E4">
      <w:pPr>
        <w:spacing w:after="0"/>
        <w:rPr>
          <w:rFonts w:asciiTheme="minorHAnsi" w:eastAsia="Aptos" w:hAnsiTheme="minorHAnsi" w:cs="Aptos"/>
          <w:b/>
          <w:bCs/>
          <w:color w:val="000000"/>
          <w:sz w:val="20"/>
          <w:szCs w:val="20"/>
        </w:rPr>
      </w:pPr>
    </w:p>
    <w:p w14:paraId="0C68F954" w14:textId="1F33C293" w:rsidR="007D74E4" w:rsidRDefault="007D74E4" w:rsidP="007D74E4">
      <w:pPr>
        <w:spacing w:after="0"/>
        <w:jc w:val="center"/>
        <w:rPr>
          <w:rFonts w:asciiTheme="minorHAnsi" w:eastAsia="Aptos" w:hAnsiTheme="minorHAnsi" w:cs="Aptos"/>
          <w:color w:val="000000"/>
          <w:sz w:val="20"/>
          <w:szCs w:val="20"/>
        </w:rPr>
      </w:pPr>
      <w:r w:rsidRPr="007D74E4">
        <w:rPr>
          <w:rFonts w:asciiTheme="minorHAnsi" w:eastAsia="Aptos" w:hAnsiTheme="minorHAnsi" w:cs="Aptos"/>
          <w:b/>
          <w:bCs/>
          <w:color w:val="000000"/>
          <w:sz w:val="20"/>
          <w:szCs w:val="20"/>
        </w:rPr>
        <w:t>In Kind Opportunities Working Group</w:t>
      </w:r>
      <w:r>
        <w:rPr>
          <w:rFonts w:asciiTheme="minorHAnsi" w:eastAsia="Aptos" w:hAnsiTheme="minorHAnsi" w:cs="Aptos"/>
          <w:b/>
          <w:bCs/>
          <w:color w:val="000000"/>
          <w:sz w:val="20"/>
          <w:szCs w:val="20"/>
        </w:rPr>
        <w:t xml:space="preserve"> Terms of Reference</w:t>
      </w:r>
    </w:p>
    <w:p w14:paraId="3B16D553" w14:textId="77777777" w:rsidR="007D74E4" w:rsidRDefault="007D74E4">
      <w:pPr>
        <w:spacing w:after="0"/>
        <w:rPr>
          <w:rFonts w:asciiTheme="minorHAnsi" w:eastAsia="Aptos" w:hAnsiTheme="minorHAnsi" w:cs="Aptos"/>
          <w:color w:val="000000"/>
          <w:sz w:val="20"/>
          <w:szCs w:val="20"/>
        </w:rPr>
      </w:pPr>
    </w:p>
    <w:p w14:paraId="0000003A" w14:textId="4DD8F080" w:rsidR="00042F7A" w:rsidRPr="007A5A65" w:rsidRDefault="001E52B8">
      <w:pPr>
        <w:spacing w:after="0"/>
        <w:rPr>
          <w:rFonts w:asciiTheme="minorHAnsi" w:eastAsia="Aptos" w:hAnsiTheme="minorHAnsi" w:cs="Aptos"/>
          <w:color w:val="000000"/>
          <w:sz w:val="20"/>
          <w:szCs w:val="20"/>
        </w:rPr>
      </w:pPr>
      <w:r w:rsidRPr="007D74E4">
        <w:rPr>
          <w:rFonts w:asciiTheme="minorHAnsi" w:eastAsia="Aptos" w:hAnsiTheme="minorHAnsi" w:cs="Aptos"/>
          <w:color w:val="000000"/>
          <w:sz w:val="20"/>
          <w:szCs w:val="20"/>
        </w:rPr>
        <w:t>The In-Kind Opportunities Working Group</w:t>
      </w:r>
      <w:r w:rsidRPr="007A5A65">
        <w:rPr>
          <w:rFonts w:asciiTheme="minorHAnsi" w:eastAsia="Aptos" w:hAnsiTheme="minorHAnsi" w:cs="Aptos"/>
          <w:color w:val="000000"/>
          <w:sz w:val="20"/>
          <w:szCs w:val="20"/>
        </w:rPr>
        <w:t xml:space="preserve"> will produce an updated in-kind list of national opportunities </w:t>
      </w:r>
      <w:r w:rsidR="00B83EEC">
        <w:rPr>
          <w:rFonts w:asciiTheme="minorHAnsi" w:eastAsia="Aptos" w:hAnsiTheme="minorHAnsi" w:cs="Aptos"/>
          <w:color w:val="000000"/>
          <w:sz w:val="20"/>
          <w:szCs w:val="20"/>
        </w:rPr>
        <w:t>that would be acknowledged by ESO as part of reducing the total ‘accession fee’</w:t>
      </w:r>
      <w:r w:rsidRPr="007A5A65">
        <w:rPr>
          <w:rFonts w:asciiTheme="minorHAnsi" w:eastAsia="Aptos" w:hAnsiTheme="minorHAnsi" w:cs="Aptos"/>
          <w:color w:val="000000"/>
          <w:sz w:val="20"/>
          <w:szCs w:val="20"/>
        </w:rPr>
        <w:t xml:space="preserve">. This list will be developed informally in the first instance on a no-commitments and exploratory basis, noting that formal discussions will need to take place officially between nominated representatives of ESO and the Australian Government. </w:t>
      </w:r>
    </w:p>
    <w:p w14:paraId="0000003B" w14:textId="77777777" w:rsidR="00042F7A" w:rsidRPr="007A5A65" w:rsidRDefault="00042F7A">
      <w:pPr>
        <w:spacing w:after="0"/>
        <w:rPr>
          <w:rFonts w:asciiTheme="minorHAnsi" w:eastAsia="Aptos" w:hAnsiTheme="minorHAnsi" w:cs="Aptos"/>
          <w:color w:val="000000"/>
          <w:sz w:val="20"/>
          <w:szCs w:val="20"/>
        </w:rPr>
      </w:pPr>
    </w:p>
    <w:p w14:paraId="0000003C" w14:textId="77777777" w:rsidR="00042F7A" w:rsidRPr="007A5A65" w:rsidRDefault="001E52B8">
      <w:pPr>
        <w:spacing w:after="0"/>
        <w:rPr>
          <w:rFonts w:asciiTheme="minorHAnsi" w:eastAsia="Aptos" w:hAnsiTheme="minorHAnsi" w:cs="Aptos"/>
          <w:color w:val="000000"/>
          <w:sz w:val="20"/>
          <w:szCs w:val="20"/>
        </w:rPr>
      </w:pPr>
      <w:r w:rsidRPr="007A5A65">
        <w:rPr>
          <w:rFonts w:asciiTheme="minorHAnsi" w:eastAsia="Aptos" w:hAnsiTheme="minorHAnsi" w:cs="Aptos"/>
          <w:color w:val="000000"/>
          <w:sz w:val="20"/>
          <w:szCs w:val="20"/>
        </w:rPr>
        <w:t>Such opportunities can be classified under the following broad categories:</w:t>
      </w:r>
    </w:p>
    <w:p w14:paraId="0000003D" w14:textId="77777777" w:rsidR="00042F7A" w:rsidRPr="007A5A65" w:rsidRDefault="001E52B8">
      <w:pPr>
        <w:spacing w:after="0"/>
        <w:rPr>
          <w:rFonts w:asciiTheme="minorHAnsi" w:eastAsia="Aptos" w:hAnsiTheme="minorHAnsi" w:cs="Aptos"/>
          <w:color w:val="000000"/>
          <w:sz w:val="20"/>
          <w:szCs w:val="20"/>
        </w:rPr>
      </w:pPr>
      <w:bookmarkStart w:id="0" w:name="_heading=h.gs1g4r8rbpap" w:colFirst="0" w:colLast="0"/>
      <w:bookmarkEnd w:id="0"/>
      <w:r w:rsidRPr="007A5A65">
        <w:rPr>
          <w:rFonts w:asciiTheme="minorHAnsi" w:eastAsia="Aptos" w:hAnsiTheme="minorHAnsi" w:cs="Aptos"/>
          <w:color w:val="000000"/>
          <w:sz w:val="20"/>
          <w:szCs w:val="20"/>
        </w:rPr>
        <w:t>1.</w:t>
      </w:r>
      <w:r w:rsidRPr="007A5A65">
        <w:rPr>
          <w:rFonts w:asciiTheme="minorHAnsi" w:eastAsia="Aptos" w:hAnsiTheme="minorHAnsi" w:cs="Aptos"/>
          <w:color w:val="000000"/>
          <w:sz w:val="20"/>
          <w:szCs w:val="20"/>
        </w:rPr>
        <w:tab/>
        <w:t>Instrumentation</w:t>
      </w:r>
    </w:p>
    <w:p w14:paraId="0000003E" w14:textId="77777777" w:rsidR="00042F7A" w:rsidRPr="007A5A65" w:rsidRDefault="001E52B8">
      <w:pPr>
        <w:spacing w:after="0"/>
        <w:rPr>
          <w:rFonts w:asciiTheme="minorHAnsi" w:eastAsia="Aptos" w:hAnsiTheme="minorHAnsi" w:cs="Aptos"/>
          <w:color w:val="000000"/>
          <w:sz w:val="20"/>
          <w:szCs w:val="20"/>
        </w:rPr>
      </w:pPr>
      <w:r w:rsidRPr="007A5A65">
        <w:rPr>
          <w:rFonts w:asciiTheme="minorHAnsi" w:eastAsia="Aptos" w:hAnsiTheme="minorHAnsi" w:cs="Aptos"/>
          <w:color w:val="000000"/>
          <w:sz w:val="20"/>
          <w:szCs w:val="20"/>
        </w:rPr>
        <w:t>2.</w:t>
      </w:r>
      <w:r w:rsidRPr="007A5A65">
        <w:rPr>
          <w:rFonts w:asciiTheme="minorHAnsi" w:eastAsia="Aptos" w:hAnsiTheme="minorHAnsi" w:cs="Aptos"/>
          <w:color w:val="000000"/>
          <w:sz w:val="20"/>
          <w:szCs w:val="20"/>
        </w:rPr>
        <w:tab/>
        <w:t>Software</w:t>
      </w:r>
    </w:p>
    <w:p w14:paraId="0000003F" w14:textId="77777777" w:rsidR="00042F7A" w:rsidRPr="007A5A65" w:rsidRDefault="001E52B8">
      <w:pPr>
        <w:spacing w:after="0"/>
        <w:rPr>
          <w:rFonts w:asciiTheme="minorHAnsi" w:eastAsia="Aptos" w:hAnsiTheme="minorHAnsi" w:cs="Aptos"/>
          <w:color w:val="000000"/>
          <w:sz w:val="20"/>
          <w:szCs w:val="20"/>
        </w:rPr>
      </w:pPr>
      <w:r w:rsidRPr="007A5A65">
        <w:rPr>
          <w:rFonts w:asciiTheme="minorHAnsi" w:eastAsia="Aptos" w:hAnsiTheme="minorHAnsi" w:cs="Aptos"/>
          <w:color w:val="000000"/>
          <w:sz w:val="20"/>
          <w:szCs w:val="20"/>
        </w:rPr>
        <w:t>3.</w:t>
      </w:r>
      <w:r w:rsidRPr="007A5A65">
        <w:rPr>
          <w:rFonts w:asciiTheme="minorHAnsi" w:eastAsia="Aptos" w:hAnsiTheme="minorHAnsi" w:cs="Aptos"/>
          <w:color w:val="000000"/>
          <w:sz w:val="20"/>
          <w:szCs w:val="20"/>
        </w:rPr>
        <w:tab/>
        <w:t>Industry</w:t>
      </w:r>
    </w:p>
    <w:p w14:paraId="00000040" w14:textId="77777777" w:rsidR="00042F7A" w:rsidRPr="007A5A65" w:rsidRDefault="001E52B8">
      <w:pPr>
        <w:spacing w:after="0"/>
        <w:rPr>
          <w:rFonts w:asciiTheme="minorHAnsi" w:eastAsia="Aptos" w:hAnsiTheme="minorHAnsi" w:cs="Aptos"/>
          <w:color w:val="000000"/>
          <w:sz w:val="20"/>
          <w:szCs w:val="20"/>
        </w:rPr>
      </w:pPr>
      <w:r w:rsidRPr="007A5A65">
        <w:rPr>
          <w:rFonts w:asciiTheme="minorHAnsi" w:eastAsia="Aptos" w:hAnsiTheme="minorHAnsi" w:cs="Aptos"/>
          <w:color w:val="000000"/>
          <w:sz w:val="20"/>
          <w:szCs w:val="20"/>
        </w:rPr>
        <w:t>4.</w:t>
      </w:r>
      <w:r w:rsidRPr="007A5A65">
        <w:rPr>
          <w:rFonts w:asciiTheme="minorHAnsi" w:eastAsia="Aptos" w:hAnsiTheme="minorHAnsi" w:cs="Aptos"/>
          <w:color w:val="000000"/>
          <w:sz w:val="20"/>
          <w:szCs w:val="20"/>
        </w:rPr>
        <w:tab/>
        <w:t>Services/technology</w:t>
      </w:r>
    </w:p>
    <w:p w14:paraId="00000041" w14:textId="77777777" w:rsidR="00042F7A" w:rsidRPr="007A5A65" w:rsidRDefault="001E52B8">
      <w:pPr>
        <w:spacing w:after="0"/>
        <w:rPr>
          <w:rFonts w:asciiTheme="minorHAnsi" w:eastAsia="Aptos" w:hAnsiTheme="minorHAnsi" w:cs="Aptos"/>
          <w:color w:val="000000"/>
          <w:sz w:val="20"/>
          <w:szCs w:val="20"/>
        </w:rPr>
      </w:pPr>
      <w:r w:rsidRPr="007A5A65">
        <w:rPr>
          <w:rFonts w:asciiTheme="minorHAnsi" w:eastAsia="Aptos" w:hAnsiTheme="minorHAnsi" w:cs="Aptos"/>
          <w:color w:val="000000"/>
          <w:sz w:val="20"/>
          <w:szCs w:val="20"/>
        </w:rPr>
        <w:t>5.</w:t>
      </w:r>
      <w:r w:rsidRPr="007A5A65">
        <w:rPr>
          <w:rFonts w:asciiTheme="minorHAnsi" w:eastAsia="Aptos" w:hAnsiTheme="minorHAnsi" w:cs="Aptos"/>
          <w:color w:val="000000"/>
          <w:sz w:val="20"/>
          <w:szCs w:val="20"/>
        </w:rPr>
        <w:tab/>
        <w:t>Exchange of data/observing time allocations</w:t>
      </w:r>
    </w:p>
    <w:p w14:paraId="00000042" w14:textId="77777777" w:rsidR="00042F7A" w:rsidRPr="007A5A65" w:rsidRDefault="00042F7A">
      <w:pPr>
        <w:spacing w:after="0"/>
        <w:rPr>
          <w:rFonts w:asciiTheme="minorHAnsi" w:eastAsia="Aptos" w:hAnsiTheme="minorHAnsi" w:cs="Aptos"/>
          <w:sz w:val="20"/>
          <w:szCs w:val="20"/>
        </w:rPr>
      </w:pPr>
    </w:p>
    <w:p w14:paraId="00C9F2B5" w14:textId="77777777" w:rsidR="0095351A" w:rsidRDefault="001E52B8">
      <w:pPr>
        <w:spacing w:after="0"/>
        <w:rPr>
          <w:rFonts w:asciiTheme="minorHAnsi" w:eastAsia="Aptos" w:hAnsiTheme="minorHAnsi" w:cs="Aptos"/>
          <w:sz w:val="20"/>
          <w:szCs w:val="20"/>
        </w:rPr>
      </w:pPr>
      <w:r w:rsidRPr="007A5A65">
        <w:rPr>
          <w:rFonts w:asciiTheme="minorHAnsi" w:eastAsia="Aptos" w:hAnsiTheme="minorHAnsi" w:cs="Aptos"/>
          <w:sz w:val="20"/>
          <w:szCs w:val="20"/>
        </w:rPr>
        <w:t xml:space="preserve">These opportunities will encompass both </w:t>
      </w:r>
    </w:p>
    <w:p w14:paraId="25E49470" w14:textId="39FD3DCD" w:rsidR="0095351A" w:rsidRPr="0095351A" w:rsidRDefault="001E52B8" w:rsidP="0095351A">
      <w:pPr>
        <w:pStyle w:val="ListParagraph"/>
        <w:numPr>
          <w:ilvl w:val="0"/>
          <w:numId w:val="9"/>
        </w:numPr>
        <w:spacing w:after="0"/>
        <w:rPr>
          <w:rFonts w:asciiTheme="minorHAnsi" w:eastAsia="Aptos" w:hAnsiTheme="minorHAnsi" w:cs="Aptos"/>
          <w:sz w:val="20"/>
          <w:szCs w:val="20"/>
        </w:rPr>
      </w:pPr>
      <w:r w:rsidRPr="0095351A">
        <w:rPr>
          <w:rFonts w:asciiTheme="minorHAnsi" w:eastAsia="Aptos" w:hAnsiTheme="minorHAnsi" w:cs="Aptos"/>
          <w:sz w:val="20"/>
          <w:szCs w:val="20"/>
        </w:rPr>
        <w:t xml:space="preserve">in-kind opportunities that will be valued by ESO and formally counted towards the calculation of the total cost of Australia’s contribution to membership, </w:t>
      </w:r>
      <w:r w:rsidR="0095351A" w:rsidRPr="0095351A">
        <w:rPr>
          <w:rFonts w:asciiTheme="minorHAnsi" w:eastAsia="Aptos" w:hAnsiTheme="minorHAnsi" w:cs="Aptos"/>
          <w:sz w:val="20"/>
          <w:szCs w:val="20"/>
        </w:rPr>
        <w:t>and</w:t>
      </w:r>
    </w:p>
    <w:p w14:paraId="00000043" w14:textId="6CFF11A7" w:rsidR="00042F7A" w:rsidRPr="0095351A" w:rsidRDefault="003F3649" w:rsidP="0095351A">
      <w:pPr>
        <w:pStyle w:val="ListParagraph"/>
        <w:numPr>
          <w:ilvl w:val="0"/>
          <w:numId w:val="9"/>
        </w:numPr>
        <w:spacing w:after="0"/>
        <w:rPr>
          <w:rFonts w:asciiTheme="minorHAnsi" w:eastAsia="Aptos" w:hAnsiTheme="minorHAnsi" w:cs="Aptos"/>
          <w:color w:val="000000"/>
          <w:sz w:val="20"/>
          <w:szCs w:val="20"/>
        </w:rPr>
      </w:pPr>
      <w:r w:rsidRPr="003F3649">
        <w:rPr>
          <w:rFonts w:asciiTheme="minorHAnsi" w:eastAsia="Aptos" w:hAnsiTheme="minorHAnsi" w:cs="Aptos"/>
          <w:sz w:val="20"/>
          <w:szCs w:val="20"/>
        </w:rPr>
        <w:t xml:space="preserve">other </w:t>
      </w:r>
      <w:r w:rsidR="001E52B8" w:rsidRPr="003F3649">
        <w:rPr>
          <w:rFonts w:asciiTheme="minorHAnsi" w:eastAsia="Aptos" w:hAnsiTheme="minorHAnsi" w:cs="Aptos"/>
          <w:sz w:val="20"/>
          <w:szCs w:val="20"/>
        </w:rPr>
        <w:t>in-kind opportunities that</w:t>
      </w:r>
      <w:r w:rsidRPr="003F3649">
        <w:rPr>
          <w:rFonts w:asciiTheme="minorHAnsi" w:eastAsia="Aptos" w:hAnsiTheme="minorHAnsi" w:cs="Aptos"/>
          <w:sz w:val="20"/>
          <w:szCs w:val="20"/>
        </w:rPr>
        <w:t xml:space="preserve">, </w:t>
      </w:r>
      <w:r w:rsidR="0095351A" w:rsidRPr="0095351A">
        <w:rPr>
          <w:rFonts w:asciiTheme="minorHAnsi" w:eastAsia="Aptos" w:hAnsiTheme="minorHAnsi" w:cs="Aptos"/>
          <w:sz w:val="20"/>
          <w:szCs w:val="20"/>
        </w:rPr>
        <w:t>could</w:t>
      </w:r>
      <w:r w:rsidR="001E52B8" w:rsidRPr="0095351A">
        <w:rPr>
          <w:rFonts w:asciiTheme="minorHAnsi" w:eastAsia="Aptos" w:hAnsiTheme="minorHAnsi" w:cs="Aptos"/>
          <w:sz w:val="20"/>
          <w:szCs w:val="20"/>
        </w:rPr>
        <w:t xml:space="preserve"> facilitate</w:t>
      </w:r>
      <w:r w:rsidR="0095351A" w:rsidRPr="0095351A">
        <w:rPr>
          <w:rFonts w:asciiTheme="minorHAnsi" w:eastAsia="Aptos" w:hAnsiTheme="minorHAnsi" w:cs="Aptos"/>
          <w:sz w:val="20"/>
          <w:szCs w:val="20"/>
        </w:rPr>
        <w:t xml:space="preserve"> </w:t>
      </w:r>
      <w:r w:rsidR="001E52B8" w:rsidRPr="0095351A">
        <w:rPr>
          <w:rFonts w:asciiTheme="minorHAnsi" w:eastAsia="Aptos" w:hAnsiTheme="minorHAnsi" w:cs="Aptos"/>
          <w:sz w:val="20"/>
          <w:szCs w:val="20"/>
        </w:rPr>
        <w:t xml:space="preserve">Australian Government agreement </w:t>
      </w:r>
      <w:r w:rsidR="0095351A" w:rsidRPr="0095351A">
        <w:rPr>
          <w:rFonts w:asciiTheme="minorHAnsi" w:eastAsia="Aptos" w:hAnsiTheme="minorHAnsi" w:cs="Aptos"/>
          <w:sz w:val="20"/>
          <w:szCs w:val="20"/>
        </w:rPr>
        <w:t xml:space="preserve">by using the ESO investment to </w:t>
      </w:r>
      <w:r w:rsidR="001E52B8" w:rsidRPr="0095351A">
        <w:rPr>
          <w:rFonts w:asciiTheme="minorHAnsi" w:eastAsia="Aptos" w:hAnsiTheme="minorHAnsi" w:cs="Aptos"/>
          <w:sz w:val="20"/>
          <w:szCs w:val="20"/>
        </w:rPr>
        <w:t>deliver</w:t>
      </w:r>
      <w:r w:rsidR="0095351A" w:rsidRPr="0095351A">
        <w:rPr>
          <w:rFonts w:asciiTheme="minorHAnsi" w:eastAsia="Aptos" w:hAnsiTheme="minorHAnsi" w:cs="Aptos"/>
          <w:sz w:val="20"/>
          <w:szCs w:val="20"/>
        </w:rPr>
        <w:t xml:space="preserve"> on other</w:t>
      </w:r>
      <w:r w:rsidR="001E52B8" w:rsidRPr="0095351A">
        <w:rPr>
          <w:rFonts w:asciiTheme="minorHAnsi" w:eastAsia="Aptos" w:hAnsiTheme="minorHAnsi" w:cs="Aptos"/>
          <w:sz w:val="20"/>
          <w:szCs w:val="20"/>
        </w:rPr>
        <w:t xml:space="preserve"> policy priorities. </w:t>
      </w:r>
      <w:r w:rsidR="001E52B8" w:rsidRPr="0095351A">
        <w:rPr>
          <w:rFonts w:asciiTheme="minorHAnsi" w:eastAsia="Aptos" w:hAnsiTheme="minorHAnsi" w:cs="Aptos"/>
          <w:color w:val="000000"/>
          <w:sz w:val="20"/>
          <w:szCs w:val="20"/>
        </w:rPr>
        <w:t>This could include support for domestic astronomy capability</w:t>
      </w:r>
      <w:r w:rsidR="0095351A">
        <w:rPr>
          <w:rFonts w:asciiTheme="minorHAnsi" w:eastAsia="Aptos" w:hAnsiTheme="minorHAnsi" w:cs="Aptos"/>
          <w:color w:val="000000"/>
          <w:sz w:val="20"/>
          <w:szCs w:val="20"/>
        </w:rPr>
        <w:t xml:space="preserve"> and support for the </w:t>
      </w:r>
      <w:r w:rsidR="001E52B8" w:rsidRPr="0095351A">
        <w:rPr>
          <w:rFonts w:asciiTheme="minorHAnsi" w:eastAsia="Aptos" w:hAnsiTheme="minorHAnsi" w:cs="Aptos"/>
          <w:color w:val="000000"/>
          <w:sz w:val="20"/>
          <w:szCs w:val="20"/>
        </w:rPr>
        <w:t>Government’s ambitions for science and advanced manufacturing</w:t>
      </w:r>
      <w:r w:rsidR="0095351A">
        <w:rPr>
          <w:rFonts w:asciiTheme="minorHAnsi" w:eastAsia="Aptos" w:hAnsiTheme="minorHAnsi" w:cs="Aptos"/>
          <w:color w:val="000000"/>
          <w:sz w:val="20"/>
          <w:szCs w:val="20"/>
        </w:rPr>
        <w:t xml:space="preserve"> and its Future Made in Australia agenda</w:t>
      </w:r>
      <w:r w:rsidR="001E52B8" w:rsidRPr="0095351A">
        <w:rPr>
          <w:rFonts w:asciiTheme="minorHAnsi" w:eastAsia="Aptos" w:hAnsiTheme="minorHAnsi" w:cs="Aptos"/>
          <w:color w:val="000000"/>
          <w:sz w:val="20"/>
          <w:szCs w:val="20"/>
        </w:rPr>
        <w:t xml:space="preserve">. </w:t>
      </w:r>
    </w:p>
    <w:p w14:paraId="0060AF1D" w14:textId="77777777" w:rsidR="0095351A" w:rsidRDefault="0095351A" w:rsidP="1E2EED48">
      <w:pPr>
        <w:spacing w:after="0"/>
        <w:rPr>
          <w:rFonts w:asciiTheme="minorHAnsi" w:eastAsia="Aptos" w:hAnsiTheme="minorHAnsi" w:cs="Aptos"/>
          <w:color w:val="000000"/>
          <w:sz w:val="20"/>
          <w:szCs w:val="20"/>
        </w:rPr>
      </w:pPr>
    </w:p>
    <w:p w14:paraId="6E12735E" w14:textId="07244DE3" w:rsidR="6E3247AE" w:rsidRDefault="6E3247AE" w:rsidP="1E2EED48">
      <w:pPr>
        <w:spacing w:after="0"/>
        <w:rPr>
          <w:rFonts w:ascii="Aptos" w:eastAsia="Aptos" w:hAnsi="Aptos" w:cs="Aptos"/>
          <w:color w:val="000000" w:themeColor="text1"/>
          <w:sz w:val="20"/>
          <w:szCs w:val="20"/>
        </w:rPr>
      </w:pPr>
      <w:r w:rsidRPr="1E2EED48">
        <w:rPr>
          <w:rFonts w:ascii="Aptos" w:eastAsia="Aptos" w:hAnsi="Aptos" w:cs="Aptos"/>
          <w:color w:val="000000" w:themeColor="text1"/>
          <w:sz w:val="20"/>
          <w:szCs w:val="20"/>
        </w:rPr>
        <w:t>The working group will:</w:t>
      </w:r>
    </w:p>
    <w:p w14:paraId="7CC74DC2" w14:textId="673CBDE4" w:rsidR="6E3247AE" w:rsidRDefault="6E3247AE" w:rsidP="1E2EED48">
      <w:pPr>
        <w:pStyle w:val="ListParagraph"/>
        <w:numPr>
          <w:ilvl w:val="0"/>
          <w:numId w:val="4"/>
        </w:numPr>
        <w:spacing w:after="0"/>
        <w:rPr>
          <w:rFonts w:ascii="Aptos" w:eastAsia="Aptos" w:hAnsi="Aptos" w:cs="Aptos"/>
          <w:color w:val="000000" w:themeColor="text1"/>
        </w:rPr>
      </w:pPr>
      <w:r w:rsidRPr="1E2EED48">
        <w:rPr>
          <w:rFonts w:ascii="Aptos" w:eastAsia="Aptos" w:hAnsi="Aptos" w:cs="Aptos"/>
          <w:color w:val="000000" w:themeColor="text1"/>
          <w:sz w:val="20"/>
          <w:szCs w:val="20"/>
        </w:rPr>
        <w:t xml:space="preserve">Consult with and represent views across the Australian astronomy community and associated </w:t>
      </w:r>
      <w:proofErr w:type="spellStart"/>
      <w:r w:rsidRPr="1E2EED48">
        <w:rPr>
          <w:rFonts w:ascii="Aptos" w:eastAsia="Aptos" w:hAnsi="Aptos" w:cs="Aptos"/>
          <w:color w:val="000000" w:themeColor="text1"/>
          <w:sz w:val="20"/>
          <w:szCs w:val="20"/>
        </w:rPr>
        <w:t>organisations</w:t>
      </w:r>
      <w:proofErr w:type="spellEnd"/>
      <w:r w:rsidRPr="1E2EED48">
        <w:rPr>
          <w:rFonts w:ascii="Aptos" w:eastAsia="Aptos" w:hAnsi="Aptos" w:cs="Aptos"/>
          <w:color w:val="000000" w:themeColor="text1"/>
          <w:sz w:val="20"/>
          <w:szCs w:val="20"/>
        </w:rPr>
        <w:t xml:space="preserve"> with interests under the five broad categories above</w:t>
      </w:r>
    </w:p>
    <w:p w14:paraId="4876B7B0" w14:textId="48DC20A7" w:rsidR="6E3247AE" w:rsidRDefault="6E3247AE" w:rsidP="1E2EED48">
      <w:pPr>
        <w:pStyle w:val="ListParagraph"/>
        <w:numPr>
          <w:ilvl w:val="0"/>
          <w:numId w:val="4"/>
        </w:numPr>
        <w:spacing w:after="0"/>
        <w:rPr>
          <w:rFonts w:ascii="Aptos" w:eastAsia="Aptos" w:hAnsi="Aptos" w:cs="Aptos"/>
          <w:color w:val="000000" w:themeColor="text1"/>
        </w:rPr>
      </w:pPr>
      <w:r w:rsidRPr="1E2EED48">
        <w:rPr>
          <w:rFonts w:ascii="Aptos" w:eastAsia="Aptos" w:hAnsi="Aptos" w:cs="Aptos"/>
          <w:color w:val="000000" w:themeColor="text1"/>
          <w:sz w:val="20"/>
          <w:szCs w:val="20"/>
        </w:rPr>
        <w:t>Liaise closely with Australia’s astronomy representative on the ESO Council</w:t>
      </w:r>
    </w:p>
    <w:p w14:paraId="10D3625F" w14:textId="64AF8814" w:rsidR="6E3247AE" w:rsidRDefault="6E3247AE" w:rsidP="1E2EED48">
      <w:pPr>
        <w:pStyle w:val="ListParagraph"/>
        <w:numPr>
          <w:ilvl w:val="0"/>
          <w:numId w:val="4"/>
        </w:numPr>
        <w:spacing w:after="0"/>
        <w:rPr>
          <w:rFonts w:ascii="Aptos" w:eastAsia="Aptos" w:hAnsi="Aptos" w:cs="Aptos"/>
          <w:color w:val="000000" w:themeColor="text1"/>
        </w:rPr>
      </w:pPr>
      <w:r w:rsidRPr="1E2EED48">
        <w:rPr>
          <w:rFonts w:ascii="Aptos" w:eastAsia="Aptos" w:hAnsi="Aptos" w:cs="Aptos"/>
          <w:color w:val="000000" w:themeColor="text1"/>
          <w:sz w:val="20"/>
          <w:szCs w:val="20"/>
        </w:rPr>
        <w:t xml:space="preserve">Develop the potential scope for in-kind opportunities, </w:t>
      </w:r>
      <w:r w:rsidR="003F3649">
        <w:rPr>
          <w:rFonts w:ascii="Aptos" w:eastAsia="Aptos" w:hAnsi="Aptos" w:cs="Aptos"/>
          <w:color w:val="000000" w:themeColor="text1"/>
          <w:sz w:val="20"/>
          <w:szCs w:val="20"/>
        </w:rPr>
        <w:t>provide an estimated cost and value of each opportunity</w:t>
      </w:r>
    </w:p>
    <w:p w14:paraId="0A779DBF" w14:textId="542F811C" w:rsidR="6E3247AE" w:rsidRDefault="6E3247AE" w:rsidP="1E2EED48">
      <w:pPr>
        <w:pStyle w:val="ListParagraph"/>
        <w:numPr>
          <w:ilvl w:val="0"/>
          <w:numId w:val="4"/>
        </w:numPr>
        <w:spacing w:after="0"/>
        <w:rPr>
          <w:rFonts w:ascii="Aptos" w:eastAsia="Aptos" w:hAnsi="Aptos" w:cs="Aptos"/>
          <w:color w:val="000000" w:themeColor="text1"/>
        </w:rPr>
      </w:pPr>
      <w:r w:rsidRPr="1E2EED48">
        <w:rPr>
          <w:rFonts w:ascii="Aptos" w:eastAsia="Aptos" w:hAnsi="Aptos" w:cs="Aptos"/>
          <w:color w:val="000000" w:themeColor="text1"/>
          <w:sz w:val="20"/>
          <w:szCs w:val="20"/>
        </w:rPr>
        <w:t>Assess feasibility and comment on capabilities required by the Australian astronomy community</w:t>
      </w:r>
    </w:p>
    <w:p w14:paraId="2BF4B1C2" w14:textId="7B0DA60E" w:rsidR="1E2EED48" w:rsidRDefault="1E2EED48" w:rsidP="1E2EED48">
      <w:pPr>
        <w:spacing w:after="0"/>
        <w:rPr>
          <w:rFonts w:asciiTheme="minorHAnsi" w:eastAsia="Aptos" w:hAnsiTheme="minorHAnsi" w:cs="Aptos"/>
          <w:color w:val="000000" w:themeColor="text1"/>
          <w:sz w:val="20"/>
          <w:szCs w:val="20"/>
        </w:rPr>
      </w:pPr>
    </w:p>
    <w:p w14:paraId="3AB31DC0" w14:textId="6ED8391A" w:rsidR="0095351A" w:rsidRDefault="0095351A" w:rsidP="0095351A">
      <w:pPr>
        <w:spacing w:after="0"/>
        <w:rPr>
          <w:rFonts w:asciiTheme="minorHAnsi" w:eastAsia="Aptos" w:hAnsiTheme="minorHAnsi" w:cs="Aptos"/>
          <w:color w:val="000000"/>
          <w:sz w:val="20"/>
          <w:szCs w:val="20"/>
        </w:rPr>
      </w:pPr>
      <w:r>
        <w:rPr>
          <w:rFonts w:asciiTheme="minorHAnsi" w:eastAsia="Aptos" w:hAnsiTheme="minorHAnsi" w:cs="Aptos"/>
          <w:color w:val="000000"/>
          <w:sz w:val="20"/>
          <w:szCs w:val="20"/>
        </w:rPr>
        <w:t xml:space="preserve">The Working Group will provide </w:t>
      </w:r>
      <w:r w:rsidR="003F3649">
        <w:rPr>
          <w:rFonts w:asciiTheme="minorHAnsi" w:eastAsia="Aptos" w:hAnsiTheme="minorHAnsi" w:cs="Aptos"/>
          <w:color w:val="000000"/>
          <w:sz w:val="20"/>
          <w:szCs w:val="20"/>
        </w:rPr>
        <w:t xml:space="preserve">an </w:t>
      </w:r>
      <w:r>
        <w:rPr>
          <w:rFonts w:asciiTheme="minorHAnsi" w:eastAsia="Aptos" w:hAnsiTheme="minorHAnsi" w:cs="Aptos"/>
          <w:color w:val="000000"/>
          <w:sz w:val="20"/>
          <w:szCs w:val="20"/>
        </w:rPr>
        <w:t xml:space="preserve">indicative list </w:t>
      </w:r>
      <w:r w:rsidR="003F3649">
        <w:rPr>
          <w:rFonts w:asciiTheme="minorHAnsi" w:eastAsia="Aptos" w:hAnsiTheme="minorHAnsi" w:cs="Aptos"/>
          <w:color w:val="000000"/>
          <w:sz w:val="20"/>
          <w:szCs w:val="20"/>
        </w:rPr>
        <w:t xml:space="preserve">which </w:t>
      </w:r>
      <w:r>
        <w:rPr>
          <w:rFonts w:asciiTheme="minorHAnsi" w:eastAsia="Aptos" w:hAnsiTheme="minorHAnsi" w:cs="Aptos"/>
          <w:color w:val="000000"/>
          <w:sz w:val="20"/>
          <w:szCs w:val="20"/>
        </w:rPr>
        <w:t xml:space="preserve">will be non-binding and developed agnostic of which specific Australian institutions can deliver on these opportunities, noting that future funding opportunities will need to be allocated on a competitive basis.  </w:t>
      </w:r>
    </w:p>
    <w:p w14:paraId="121AF8AF" w14:textId="77777777" w:rsidR="0095351A" w:rsidRDefault="0095351A" w:rsidP="0095351A">
      <w:pPr>
        <w:spacing w:after="0"/>
        <w:rPr>
          <w:rFonts w:asciiTheme="minorHAnsi" w:eastAsia="Aptos" w:hAnsiTheme="minorHAnsi" w:cs="Aptos"/>
          <w:color w:val="000000"/>
          <w:sz w:val="20"/>
          <w:szCs w:val="20"/>
        </w:rPr>
      </w:pPr>
    </w:p>
    <w:p w14:paraId="69EA3B45" w14:textId="73A8D25E" w:rsidR="0095351A" w:rsidRPr="0095351A" w:rsidRDefault="0095351A" w:rsidP="0095351A">
      <w:pPr>
        <w:spacing w:after="0"/>
        <w:rPr>
          <w:rFonts w:asciiTheme="minorHAnsi" w:eastAsia="Aptos" w:hAnsiTheme="minorHAnsi" w:cs="Aptos"/>
          <w:color w:val="000000"/>
          <w:sz w:val="20"/>
          <w:szCs w:val="20"/>
        </w:rPr>
      </w:pPr>
      <w:r>
        <w:rPr>
          <w:rFonts w:asciiTheme="minorHAnsi" w:eastAsia="Aptos" w:hAnsiTheme="minorHAnsi" w:cs="Aptos"/>
          <w:color w:val="000000"/>
          <w:sz w:val="20"/>
          <w:szCs w:val="20"/>
        </w:rPr>
        <w:t xml:space="preserve">Working Group members will be appointed based on their expertise in understanding the opportunities against the broad categories listed above. They will be expected to work collaboratively with other stakeholders across Australia to ensure all relevant institutions </w:t>
      </w:r>
      <w:proofErr w:type="gramStart"/>
      <w:r>
        <w:rPr>
          <w:rFonts w:asciiTheme="minorHAnsi" w:eastAsia="Aptos" w:hAnsiTheme="minorHAnsi" w:cs="Aptos"/>
          <w:color w:val="000000"/>
          <w:sz w:val="20"/>
          <w:szCs w:val="20"/>
        </w:rPr>
        <w:t>have the opportunity to</w:t>
      </w:r>
      <w:proofErr w:type="gramEnd"/>
      <w:r>
        <w:rPr>
          <w:rFonts w:asciiTheme="minorHAnsi" w:eastAsia="Aptos" w:hAnsiTheme="minorHAnsi" w:cs="Aptos"/>
          <w:color w:val="000000"/>
          <w:sz w:val="20"/>
          <w:szCs w:val="20"/>
        </w:rPr>
        <w:t xml:space="preserve"> provide input.</w:t>
      </w:r>
    </w:p>
    <w:p w14:paraId="3F72BA23" w14:textId="61AC7438" w:rsidR="1E2EED48" w:rsidRDefault="1E2EED48" w:rsidP="1E2EED48">
      <w:pPr>
        <w:spacing w:after="0"/>
        <w:rPr>
          <w:rFonts w:asciiTheme="minorHAnsi" w:eastAsia="Aptos" w:hAnsiTheme="minorHAnsi" w:cs="Aptos"/>
          <w:b/>
          <w:bCs/>
          <w:color w:val="000000" w:themeColor="text1"/>
          <w:sz w:val="20"/>
          <w:szCs w:val="20"/>
        </w:rPr>
      </w:pPr>
    </w:p>
    <w:p w14:paraId="3BDB13E9" w14:textId="03603030" w:rsidR="00042F7A" w:rsidRPr="007A5A65" w:rsidRDefault="00EE7B65" w:rsidP="1E2EED48">
      <w:pPr>
        <w:spacing w:after="0"/>
        <w:rPr>
          <w:rFonts w:asciiTheme="minorHAnsi" w:eastAsia="Aptos" w:hAnsiTheme="minorHAnsi" w:cs="Aptos"/>
          <w:b/>
          <w:bCs/>
          <w:color w:val="000000" w:themeColor="text1"/>
          <w:sz w:val="20"/>
          <w:szCs w:val="20"/>
        </w:rPr>
      </w:pPr>
      <w:r>
        <w:rPr>
          <w:rFonts w:asciiTheme="minorHAnsi" w:eastAsia="Aptos" w:hAnsiTheme="minorHAnsi" w:cs="Aptos"/>
          <w:b/>
          <w:bCs/>
          <w:color w:val="000000" w:themeColor="text1"/>
          <w:sz w:val="20"/>
          <w:szCs w:val="20"/>
        </w:rPr>
        <w:t>M</w:t>
      </w:r>
      <w:r w:rsidR="0EB1D64F" w:rsidRPr="1E2EED48">
        <w:rPr>
          <w:rFonts w:asciiTheme="minorHAnsi" w:eastAsia="Aptos" w:hAnsiTheme="minorHAnsi" w:cs="Aptos"/>
          <w:b/>
          <w:bCs/>
          <w:color w:val="000000" w:themeColor="text1"/>
          <w:sz w:val="20"/>
          <w:szCs w:val="20"/>
        </w:rPr>
        <w:t>embership</w:t>
      </w:r>
    </w:p>
    <w:p w14:paraId="2CDE777A" w14:textId="648A02CE" w:rsidR="00042F7A" w:rsidRPr="007A5A65" w:rsidRDefault="5C4F6208" w:rsidP="1E2EED48">
      <w:pPr>
        <w:spacing w:after="0"/>
        <w:rPr>
          <w:rFonts w:asciiTheme="minorHAnsi" w:eastAsia="Aptos" w:hAnsiTheme="minorHAnsi" w:cs="Aptos"/>
          <w:color w:val="000000" w:themeColor="text1"/>
          <w:sz w:val="20"/>
          <w:szCs w:val="20"/>
        </w:rPr>
      </w:pPr>
      <w:r w:rsidRPr="1E2EED48">
        <w:rPr>
          <w:rFonts w:asciiTheme="minorHAnsi" w:eastAsia="Aptos" w:hAnsiTheme="minorHAnsi" w:cs="Aptos"/>
          <w:color w:val="000000" w:themeColor="text1"/>
          <w:sz w:val="20"/>
          <w:szCs w:val="20"/>
        </w:rPr>
        <w:t xml:space="preserve">AAL has drawn on its collective knowledge of the Australian astronomy community to identify candidate working group members with expertise in instrumentation, software and big data, and/or experience of engagement with industry. In seeking a balance between diversity of membership and optimal number of members, AAL </w:t>
      </w:r>
      <w:r w:rsidR="61A1B7D6" w:rsidRPr="1E2EED48">
        <w:rPr>
          <w:rFonts w:asciiTheme="minorHAnsi" w:eastAsia="Aptos" w:hAnsiTheme="minorHAnsi" w:cs="Aptos"/>
          <w:color w:val="000000" w:themeColor="text1"/>
          <w:sz w:val="20"/>
          <w:szCs w:val="20"/>
        </w:rPr>
        <w:t>suggest</w:t>
      </w:r>
      <w:r w:rsidRPr="1E2EED48">
        <w:rPr>
          <w:rFonts w:asciiTheme="minorHAnsi" w:eastAsia="Aptos" w:hAnsiTheme="minorHAnsi" w:cs="Aptos"/>
          <w:color w:val="000000" w:themeColor="text1"/>
          <w:sz w:val="20"/>
          <w:szCs w:val="20"/>
        </w:rPr>
        <w:t xml:space="preserve">s the following membership for the </w:t>
      </w:r>
      <w:r w:rsidR="6D57B3FD" w:rsidRPr="1E2EED48">
        <w:rPr>
          <w:rFonts w:asciiTheme="minorHAnsi" w:eastAsia="Aptos" w:hAnsiTheme="minorHAnsi" w:cs="Aptos"/>
          <w:color w:val="000000" w:themeColor="text1"/>
          <w:sz w:val="20"/>
          <w:szCs w:val="20"/>
        </w:rPr>
        <w:t>working group</w:t>
      </w:r>
      <w:r w:rsidRPr="1E2EED48">
        <w:rPr>
          <w:rFonts w:asciiTheme="minorHAnsi" w:eastAsia="Aptos" w:hAnsiTheme="minorHAnsi" w:cs="Aptos"/>
          <w:color w:val="000000" w:themeColor="text1"/>
          <w:sz w:val="20"/>
          <w:szCs w:val="20"/>
        </w:rPr>
        <w:t>:</w:t>
      </w:r>
    </w:p>
    <w:p w14:paraId="76508773" w14:textId="144981DB" w:rsidR="00042F7A" w:rsidRPr="007A5A65" w:rsidRDefault="5C4F6208" w:rsidP="1E2EED48">
      <w:pPr>
        <w:pStyle w:val="ListParagraph"/>
        <w:numPr>
          <w:ilvl w:val="0"/>
          <w:numId w:val="1"/>
        </w:numPr>
        <w:spacing w:after="0"/>
        <w:rPr>
          <w:rFonts w:asciiTheme="minorHAnsi" w:eastAsia="Aptos" w:hAnsiTheme="minorHAnsi" w:cs="Aptos"/>
          <w:color w:val="000000" w:themeColor="text1"/>
        </w:rPr>
      </w:pPr>
      <w:r w:rsidRPr="1E2EED48">
        <w:rPr>
          <w:rFonts w:asciiTheme="minorHAnsi" w:eastAsia="Aptos" w:hAnsiTheme="minorHAnsi" w:cs="Aptos"/>
          <w:color w:val="000000" w:themeColor="text1"/>
          <w:sz w:val="20"/>
          <w:szCs w:val="20"/>
        </w:rPr>
        <w:t>Dr Alexander Cooke (AAL), Chair</w:t>
      </w:r>
    </w:p>
    <w:p w14:paraId="37FEDA37" w14:textId="71CDF8C4" w:rsidR="00042F7A" w:rsidRPr="007A5A65" w:rsidRDefault="5C4F6208" w:rsidP="1E2EED48">
      <w:pPr>
        <w:pStyle w:val="ListParagraph"/>
        <w:numPr>
          <w:ilvl w:val="0"/>
          <w:numId w:val="1"/>
        </w:numPr>
        <w:spacing w:after="0"/>
        <w:rPr>
          <w:rFonts w:asciiTheme="minorHAnsi" w:eastAsia="Aptos" w:hAnsiTheme="minorHAnsi" w:cs="Aptos"/>
          <w:color w:val="000000" w:themeColor="text1"/>
        </w:rPr>
      </w:pPr>
      <w:r w:rsidRPr="1E2EED48">
        <w:rPr>
          <w:rFonts w:asciiTheme="minorHAnsi" w:eastAsia="Aptos" w:hAnsiTheme="minorHAnsi" w:cs="Aptos"/>
          <w:color w:val="000000" w:themeColor="text1"/>
          <w:sz w:val="20"/>
          <w:szCs w:val="20"/>
        </w:rPr>
        <w:t>Prof. Mark Casali (Astralis-AAO and former Head of ESO’s Technology Development Program): optical instrumentation, industry engagement</w:t>
      </w:r>
    </w:p>
    <w:p w14:paraId="15F0A4E2" w14:textId="06F118B6" w:rsidR="00042F7A" w:rsidRPr="007A5A65" w:rsidRDefault="5C4F6208" w:rsidP="1E2EED48">
      <w:pPr>
        <w:pStyle w:val="ListParagraph"/>
        <w:numPr>
          <w:ilvl w:val="0"/>
          <w:numId w:val="1"/>
        </w:numPr>
        <w:spacing w:after="0"/>
        <w:rPr>
          <w:rFonts w:asciiTheme="minorHAnsi" w:eastAsia="Aptos" w:hAnsiTheme="minorHAnsi" w:cs="Aptos"/>
          <w:color w:val="000000" w:themeColor="text1"/>
        </w:rPr>
      </w:pPr>
      <w:r w:rsidRPr="1E2EED48">
        <w:rPr>
          <w:rFonts w:asciiTheme="minorHAnsi" w:eastAsia="Aptos" w:hAnsiTheme="minorHAnsi" w:cs="Aptos"/>
          <w:color w:val="000000" w:themeColor="text1"/>
          <w:sz w:val="20"/>
          <w:szCs w:val="20"/>
        </w:rPr>
        <w:t xml:space="preserve">Prof. Céline </w:t>
      </w:r>
      <w:proofErr w:type="spellStart"/>
      <w:r w:rsidRPr="1E2EED48">
        <w:rPr>
          <w:rFonts w:asciiTheme="minorHAnsi" w:eastAsia="Aptos" w:hAnsiTheme="minorHAnsi" w:cs="Aptos"/>
          <w:color w:val="000000" w:themeColor="text1"/>
          <w:sz w:val="20"/>
          <w:szCs w:val="20"/>
        </w:rPr>
        <w:t>d’Orgeville</w:t>
      </w:r>
      <w:proofErr w:type="spellEnd"/>
      <w:r w:rsidRPr="1E2EED48">
        <w:rPr>
          <w:rFonts w:asciiTheme="minorHAnsi" w:eastAsia="Aptos" w:hAnsiTheme="minorHAnsi" w:cs="Aptos"/>
          <w:color w:val="000000" w:themeColor="text1"/>
          <w:sz w:val="20"/>
          <w:szCs w:val="20"/>
        </w:rPr>
        <w:t xml:space="preserve"> (CSIRO Space &amp; Astronomy): radio and optical instrumentation</w:t>
      </w:r>
    </w:p>
    <w:p w14:paraId="76100D8A" w14:textId="5904AB80" w:rsidR="00042F7A" w:rsidRPr="00D300FF" w:rsidRDefault="5C4F6208" w:rsidP="1E2EED48">
      <w:pPr>
        <w:pStyle w:val="ListParagraph"/>
        <w:numPr>
          <w:ilvl w:val="0"/>
          <w:numId w:val="1"/>
        </w:numPr>
        <w:spacing w:after="0"/>
        <w:rPr>
          <w:rFonts w:asciiTheme="minorHAnsi" w:eastAsia="Aptos" w:hAnsiTheme="minorHAnsi" w:cs="Aptos"/>
          <w:color w:val="000000" w:themeColor="text1"/>
        </w:rPr>
      </w:pPr>
      <w:r w:rsidRPr="1E2EED48">
        <w:rPr>
          <w:rFonts w:asciiTheme="minorHAnsi" w:eastAsia="Aptos" w:hAnsiTheme="minorHAnsi" w:cs="Aptos"/>
          <w:color w:val="000000" w:themeColor="text1"/>
          <w:sz w:val="20"/>
          <w:szCs w:val="20"/>
        </w:rPr>
        <w:t>Dr Nuria Lorente (Astralis-AAO): software, big data</w:t>
      </w:r>
    </w:p>
    <w:p w14:paraId="24E9CE5B" w14:textId="54FE1455" w:rsidR="00D300FF" w:rsidRPr="007A5A65" w:rsidRDefault="00D300FF" w:rsidP="1E2EED48">
      <w:pPr>
        <w:pStyle w:val="ListParagraph"/>
        <w:numPr>
          <w:ilvl w:val="0"/>
          <w:numId w:val="1"/>
        </w:numPr>
        <w:spacing w:after="0"/>
        <w:rPr>
          <w:rFonts w:asciiTheme="minorHAnsi" w:eastAsia="Aptos" w:hAnsiTheme="minorHAnsi" w:cs="Aptos"/>
          <w:color w:val="000000" w:themeColor="text1"/>
        </w:rPr>
      </w:pPr>
      <w:r>
        <w:rPr>
          <w:rFonts w:asciiTheme="minorHAnsi" w:eastAsia="Aptos" w:hAnsiTheme="minorHAnsi" w:cs="Aptos"/>
          <w:color w:val="000000" w:themeColor="text1"/>
          <w:sz w:val="20"/>
          <w:szCs w:val="20"/>
        </w:rPr>
        <w:t xml:space="preserve">Prof Matthew </w:t>
      </w:r>
      <w:proofErr w:type="spellStart"/>
      <w:r>
        <w:rPr>
          <w:rFonts w:asciiTheme="minorHAnsi" w:eastAsia="Aptos" w:hAnsiTheme="minorHAnsi" w:cs="Aptos"/>
          <w:color w:val="000000" w:themeColor="text1"/>
          <w:sz w:val="20"/>
          <w:szCs w:val="20"/>
        </w:rPr>
        <w:t>Colless</w:t>
      </w:r>
      <w:proofErr w:type="spellEnd"/>
      <w:r>
        <w:rPr>
          <w:rFonts w:asciiTheme="minorHAnsi" w:eastAsia="Aptos" w:hAnsiTheme="minorHAnsi" w:cs="Aptos"/>
          <w:color w:val="000000" w:themeColor="text1"/>
          <w:sz w:val="20"/>
          <w:szCs w:val="20"/>
        </w:rPr>
        <w:t xml:space="preserve"> (ANU</w:t>
      </w:r>
      <w:r w:rsidR="00485A13">
        <w:rPr>
          <w:rFonts w:asciiTheme="minorHAnsi" w:eastAsia="Aptos" w:hAnsiTheme="minorHAnsi" w:cs="Aptos"/>
          <w:color w:val="000000" w:themeColor="text1"/>
          <w:sz w:val="20"/>
          <w:szCs w:val="20"/>
        </w:rPr>
        <w:t xml:space="preserve"> and former representative on ESO Council</w:t>
      </w:r>
      <w:r>
        <w:rPr>
          <w:rFonts w:asciiTheme="minorHAnsi" w:eastAsia="Aptos" w:hAnsiTheme="minorHAnsi" w:cs="Aptos"/>
          <w:color w:val="000000" w:themeColor="text1"/>
          <w:sz w:val="20"/>
          <w:szCs w:val="20"/>
        </w:rPr>
        <w:t>): optical astronomy, instrumentation</w:t>
      </w:r>
    </w:p>
    <w:p w14:paraId="21BE3BF2" w14:textId="37279672" w:rsidR="00042F7A" w:rsidRPr="007A5A65" w:rsidRDefault="5C4F6208" w:rsidP="1E2EED48">
      <w:pPr>
        <w:pStyle w:val="ListParagraph"/>
        <w:numPr>
          <w:ilvl w:val="0"/>
          <w:numId w:val="1"/>
        </w:numPr>
        <w:spacing w:after="0"/>
        <w:rPr>
          <w:rFonts w:asciiTheme="minorHAnsi" w:eastAsia="Aptos" w:hAnsiTheme="minorHAnsi" w:cs="Aptos"/>
          <w:color w:val="000000" w:themeColor="text1"/>
        </w:rPr>
      </w:pPr>
      <w:r w:rsidRPr="1E2EED48">
        <w:rPr>
          <w:rFonts w:asciiTheme="minorHAnsi" w:eastAsia="Aptos" w:hAnsiTheme="minorHAnsi" w:cs="Aptos"/>
          <w:color w:val="000000" w:themeColor="text1"/>
          <w:sz w:val="20"/>
          <w:szCs w:val="20"/>
        </w:rPr>
        <w:t>Prof. Simon Ellingsen (ICRAR): radio astronomy, industry engagement</w:t>
      </w:r>
    </w:p>
    <w:p w14:paraId="7F3E2547" w14:textId="1472F156" w:rsidR="00042F7A" w:rsidRPr="007A5A65" w:rsidRDefault="00042F7A" w:rsidP="1E2EED48">
      <w:pPr>
        <w:rPr>
          <w:rFonts w:ascii="Aptos" w:eastAsia="Aptos" w:hAnsi="Aptos" w:cs="Aptos"/>
          <w:color w:val="000000" w:themeColor="text1"/>
          <w:sz w:val="20"/>
          <w:szCs w:val="20"/>
        </w:rPr>
      </w:pPr>
    </w:p>
    <w:p w14:paraId="00000051" w14:textId="37786DE3" w:rsidR="00042F7A" w:rsidRPr="007A5A65" w:rsidRDefault="080EC07D" w:rsidP="1E2EED48">
      <w:pPr>
        <w:rPr>
          <w:rFonts w:ascii="Aptos" w:eastAsia="Aptos" w:hAnsi="Aptos" w:cs="Aptos"/>
          <w:color w:val="000000" w:themeColor="text1"/>
          <w:sz w:val="20"/>
          <w:szCs w:val="20"/>
        </w:rPr>
      </w:pPr>
      <w:r w:rsidRPr="1E2EED48">
        <w:rPr>
          <w:rFonts w:ascii="Aptos" w:eastAsia="Aptos" w:hAnsi="Aptos" w:cs="Aptos"/>
          <w:color w:val="000000" w:themeColor="text1"/>
          <w:sz w:val="20"/>
          <w:szCs w:val="20"/>
        </w:rPr>
        <w:t>Members will be expected to consult with the broader community for further information on potential in-kind contributions and seek to ensure an institutional agnostic approach to gathering these opportunities.</w:t>
      </w:r>
      <w:r w:rsidR="049991CC" w:rsidRPr="1E2EED48">
        <w:rPr>
          <w:rFonts w:ascii="Aptos" w:eastAsia="Aptos" w:hAnsi="Aptos" w:cs="Aptos"/>
          <w:color w:val="000000" w:themeColor="text1"/>
          <w:sz w:val="20"/>
          <w:szCs w:val="20"/>
        </w:rPr>
        <w:t xml:space="preserve"> </w:t>
      </w:r>
    </w:p>
    <w:sectPr w:rsidR="00042F7A" w:rsidRPr="007A5A65">
      <w:headerReference w:type="even" r:id="rId11"/>
      <w:headerReference w:type="default" r:id="rId12"/>
      <w:footerReference w:type="even" r:id="rId13"/>
      <w:footerReference w:type="default" r:id="rId14"/>
      <w:headerReference w:type="first" r:id="rId15"/>
      <w:footerReference w:type="first" r:id="rId16"/>
      <w:pgSz w:w="11906" w:h="16838"/>
      <w:pgMar w:top="426" w:right="1440" w:bottom="851"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8BEC" w14:textId="77777777" w:rsidR="00F06C7F" w:rsidRDefault="00F06C7F">
      <w:pPr>
        <w:spacing w:after="0" w:line="240" w:lineRule="auto"/>
      </w:pPr>
      <w:r>
        <w:separator/>
      </w:r>
    </w:p>
  </w:endnote>
  <w:endnote w:type="continuationSeparator" w:id="0">
    <w:p w14:paraId="23A4597A" w14:textId="77777777" w:rsidR="00F06C7F" w:rsidRDefault="00F06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FF4558B-0C89-434E-B9B2-5B6179988A84}"/>
  </w:font>
  <w:font w:name="Aptos">
    <w:altName w:val="Calibri"/>
    <w:charset w:val="00"/>
    <w:family w:val="swiss"/>
    <w:pitch w:val="variable"/>
    <w:sig w:usb0="20000287" w:usb1="00000003" w:usb2="00000000" w:usb3="00000000" w:csb0="0000019F" w:csb1="00000000"/>
    <w:embedRegular r:id="rId2" w:fontKey="{239F5257-58F2-48B8-A0DA-81D47B68FCDC}"/>
    <w:embedBold r:id="rId3" w:fontKey="{C801EE7B-00DC-4BB7-95A7-B9FE0B3ACFE8}"/>
  </w:font>
  <w:font w:name="Calibri">
    <w:panose1 w:val="020F0502020204030204"/>
    <w:charset w:val="00"/>
    <w:family w:val="swiss"/>
    <w:pitch w:val="variable"/>
    <w:sig w:usb0="E4002EFF" w:usb1="C200247B" w:usb2="00000009" w:usb3="00000000" w:csb0="000001FF" w:csb1="00000000"/>
    <w:embedRegular r:id="rId4" w:fontKey="{E53F31D4-FD88-43CC-BEEF-B572D87B866F}"/>
    <w:embedBold r:id="rId5" w:fontKey="{24167885-28D3-4769-AEE4-87AB0BD936CD}"/>
    <w:embedItalic r:id="rId6" w:fontKey="{70F4AB24-94E1-49FB-88E0-14ADCDCAE465}"/>
  </w:font>
  <w:font w:name="Aptos Display">
    <w:charset w:val="00"/>
    <w:family w:val="swiss"/>
    <w:pitch w:val="variable"/>
    <w:sig w:usb0="20000287" w:usb1="00000003" w:usb2="00000000" w:usb3="00000000" w:csb0="0000019F" w:csb1="00000000"/>
    <w:embedRegular r:id="rId7" w:fontKey="{50B1E4DB-139E-4B75-84B6-94D3206469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5" w14:textId="216165B3" w:rsidR="00042F7A" w:rsidRDefault="000B0520">
    <w:pPr>
      <w:pBdr>
        <w:top w:val="nil"/>
        <w:left w:val="nil"/>
        <w:bottom w:val="nil"/>
        <w:right w:val="nil"/>
        <w:between w:val="nil"/>
      </w:pBdr>
      <w:tabs>
        <w:tab w:val="center" w:pos="4513"/>
        <w:tab w:val="right" w:pos="9026"/>
      </w:tabs>
      <w:spacing w:after="0" w:line="240" w:lineRule="auto"/>
      <w:rPr>
        <w:rFonts w:eastAsia="Calibri" w:cs="Calibri"/>
        <w:color w:val="000000"/>
      </w:rPr>
    </w:pPr>
    <w:r>
      <w:rPr>
        <w:rFonts w:eastAsia="Calibri" w:cs="Calibri"/>
        <w:noProof/>
        <w:color w:val="000000"/>
      </w:rPr>
      <mc:AlternateContent>
        <mc:Choice Requires="wps">
          <w:drawing>
            <wp:anchor distT="0" distB="0" distL="0" distR="0" simplePos="0" relativeHeight="251662336" behindDoc="0" locked="0" layoutInCell="1" allowOverlap="1" wp14:anchorId="30873CD3" wp14:editId="289E312F">
              <wp:simplePos x="635" y="635"/>
              <wp:positionH relativeFrom="page">
                <wp:align>center</wp:align>
              </wp:positionH>
              <wp:positionV relativeFrom="page">
                <wp:align>bottom</wp:align>
              </wp:positionV>
              <wp:extent cx="551815" cy="404495"/>
              <wp:effectExtent l="0" t="0" r="635" b="0"/>
              <wp:wrapNone/>
              <wp:docPr id="893489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1AB5785" w14:textId="45494137" w:rsidR="000B0520" w:rsidRPr="000B0520" w:rsidRDefault="000B0520" w:rsidP="000B0520">
                          <w:pPr>
                            <w:spacing w:after="0"/>
                            <w:rPr>
                              <w:rFonts w:eastAsia="Calibri" w:cs="Calibri"/>
                              <w:noProof/>
                              <w:color w:val="C00000"/>
                              <w:sz w:val="24"/>
                              <w:szCs w:val="24"/>
                            </w:rPr>
                          </w:pPr>
                          <w:r w:rsidRPr="000B0520">
                            <w:rPr>
                              <w:rFonts w:eastAsia="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73CD3" id="_x0000_t202" coordsize="21600,21600" o:spt="202" path="m,l,21600r21600,l21600,xe">
              <v:stroke joinstyle="miter"/>
              <v:path gradientshapeok="t" o:connecttype="rect"/>
            </v:shapetype>
            <v:shape id="Text Box 5" o:spid="_x0000_s1028" type="#_x0000_t202" alt="OFFICIAL" style="position:absolute;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21AB5785" w14:textId="45494137" w:rsidR="000B0520" w:rsidRPr="000B0520" w:rsidRDefault="000B0520" w:rsidP="000B0520">
                    <w:pPr>
                      <w:spacing w:after="0"/>
                      <w:rPr>
                        <w:rFonts w:eastAsia="Calibri" w:cs="Calibri"/>
                        <w:noProof/>
                        <w:color w:val="C00000"/>
                        <w:sz w:val="24"/>
                        <w:szCs w:val="24"/>
                      </w:rPr>
                    </w:pPr>
                    <w:r w:rsidRPr="000B0520">
                      <w:rPr>
                        <w:rFonts w:eastAsia="Calibri" w:cs="Calibri"/>
                        <w:noProof/>
                        <w:color w:val="C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21613E2B" w:rsidR="00042F7A" w:rsidRDefault="000B0520">
    <w:pPr>
      <w:pBdr>
        <w:top w:val="nil"/>
        <w:left w:val="nil"/>
        <w:bottom w:val="nil"/>
        <w:right w:val="nil"/>
        <w:between w:val="nil"/>
      </w:pBdr>
      <w:tabs>
        <w:tab w:val="center" w:pos="4513"/>
        <w:tab w:val="right" w:pos="9026"/>
      </w:tabs>
      <w:spacing w:after="0" w:line="240" w:lineRule="auto"/>
      <w:rPr>
        <w:rFonts w:eastAsia="Calibri" w:cs="Calibri"/>
        <w:color w:val="000000"/>
      </w:rPr>
    </w:pPr>
    <w:r>
      <w:rPr>
        <w:rFonts w:eastAsia="Calibri" w:cs="Calibri"/>
        <w:noProof/>
        <w:color w:val="000000"/>
      </w:rPr>
      <mc:AlternateContent>
        <mc:Choice Requires="wps">
          <w:drawing>
            <wp:anchor distT="0" distB="0" distL="0" distR="0" simplePos="0" relativeHeight="251663360" behindDoc="0" locked="0" layoutInCell="1" allowOverlap="1" wp14:anchorId="2A9AABD9" wp14:editId="1A7F2D77">
              <wp:simplePos x="914400" y="10073030"/>
              <wp:positionH relativeFrom="page">
                <wp:align>center</wp:align>
              </wp:positionH>
              <wp:positionV relativeFrom="page">
                <wp:align>bottom</wp:align>
              </wp:positionV>
              <wp:extent cx="551815" cy="404495"/>
              <wp:effectExtent l="0" t="0" r="635" b="0"/>
              <wp:wrapNone/>
              <wp:docPr id="100726755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3743D1E" w14:textId="69753A51" w:rsidR="000B0520" w:rsidRPr="000B0520" w:rsidRDefault="000B0520" w:rsidP="000B0520">
                          <w:pPr>
                            <w:spacing w:after="0"/>
                            <w:rPr>
                              <w:rFonts w:eastAsia="Calibri" w:cs="Calibri"/>
                              <w:noProof/>
                              <w:color w:val="C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9AABD9" id="_x0000_t202" coordsize="21600,21600" o:spt="202" path="m,l,21600r21600,l21600,xe">
              <v:stroke joinstyle="miter"/>
              <v:path gradientshapeok="t" o:connecttype="rect"/>
            </v:shapetype>
            <v:shape id="Text Box 6" o:spid="_x0000_s1029" type="#_x0000_t202" alt="OFFICIAL" style="position:absolute;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53743D1E" w14:textId="69753A51" w:rsidR="000B0520" w:rsidRPr="000B0520" w:rsidRDefault="000B0520" w:rsidP="000B0520">
                    <w:pPr>
                      <w:spacing w:after="0"/>
                      <w:rPr>
                        <w:rFonts w:eastAsia="Calibri" w:cs="Calibri"/>
                        <w:noProof/>
                        <w:color w:val="C00000"/>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2C81728" w:rsidR="00042F7A" w:rsidRDefault="000B0520">
    <w:pPr>
      <w:pBdr>
        <w:top w:val="nil"/>
        <w:left w:val="nil"/>
        <w:bottom w:val="nil"/>
        <w:right w:val="nil"/>
        <w:between w:val="nil"/>
      </w:pBdr>
      <w:tabs>
        <w:tab w:val="center" w:pos="4513"/>
        <w:tab w:val="right" w:pos="9026"/>
      </w:tabs>
      <w:spacing w:after="0" w:line="240" w:lineRule="auto"/>
      <w:rPr>
        <w:rFonts w:eastAsia="Calibri" w:cs="Calibri"/>
        <w:color w:val="000000"/>
      </w:rPr>
    </w:pPr>
    <w:r>
      <w:rPr>
        <w:rFonts w:eastAsia="Calibri" w:cs="Calibri"/>
        <w:noProof/>
        <w:color w:val="000000"/>
      </w:rPr>
      <mc:AlternateContent>
        <mc:Choice Requires="wps">
          <w:drawing>
            <wp:anchor distT="0" distB="0" distL="0" distR="0" simplePos="0" relativeHeight="251661312" behindDoc="0" locked="0" layoutInCell="1" allowOverlap="1" wp14:anchorId="012D59BD" wp14:editId="58AAF5A3">
              <wp:simplePos x="635" y="635"/>
              <wp:positionH relativeFrom="page">
                <wp:align>center</wp:align>
              </wp:positionH>
              <wp:positionV relativeFrom="page">
                <wp:align>bottom</wp:align>
              </wp:positionV>
              <wp:extent cx="551815" cy="404495"/>
              <wp:effectExtent l="0" t="0" r="635" b="0"/>
              <wp:wrapNone/>
              <wp:docPr id="164323039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E6551A0" w14:textId="0FF9519A" w:rsidR="000B0520" w:rsidRPr="000B0520" w:rsidRDefault="000B0520" w:rsidP="000B0520">
                          <w:pPr>
                            <w:spacing w:after="0"/>
                            <w:rPr>
                              <w:rFonts w:eastAsia="Calibri" w:cs="Calibri"/>
                              <w:noProof/>
                              <w:color w:val="C00000"/>
                              <w:sz w:val="24"/>
                              <w:szCs w:val="24"/>
                            </w:rPr>
                          </w:pPr>
                          <w:r w:rsidRPr="000B0520">
                            <w:rPr>
                              <w:rFonts w:eastAsia="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2D59BD" id="_x0000_t202" coordsize="21600,21600" o:spt="202" path="m,l,21600r21600,l21600,xe">
              <v:stroke joinstyle="miter"/>
              <v:path gradientshapeok="t" o:connecttype="rect"/>
            </v:shapetype>
            <v:shape id="Text Box 4" o:spid="_x0000_s1031" type="#_x0000_t202" alt="OFFICIAL" style="position:absolute;margin-left:0;margin-top:0;width:43.45pt;height:31.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7E6551A0" w14:textId="0FF9519A" w:rsidR="000B0520" w:rsidRPr="000B0520" w:rsidRDefault="000B0520" w:rsidP="000B0520">
                    <w:pPr>
                      <w:spacing w:after="0"/>
                      <w:rPr>
                        <w:rFonts w:eastAsia="Calibri" w:cs="Calibri"/>
                        <w:noProof/>
                        <w:color w:val="C00000"/>
                        <w:sz w:val="24"/>
                        <w:szCs w:val="24"/>
                      </w:rPr>
                    </w:pPr>
                    <w:r w:rsidRPr="000B0520">
                      <w:rPr>
                        <w:rFonts w:eastAsia="Calibri" w:cs="Calibri"/>
                        <w:noProof/>
                        <w:color w:val="C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CBA91" w14:textId="77777777" w:rsidR="00F06C7F" w:rsidRDefault="00F06C7F">
      <w:pPr>
        <w:spacing w:after="0" w:line="240" w:lineRule="auto"/>
      </w:pPr>
      <w:r>
        <w:separator/>
      </w:r>
    </w:p>
  </w:footnote>
  <w:footnote w:type="continuationSeparator" w:id="0">
    <w:p w14:paraId="557C4667" w14:textId="77777777" w:rsidR="00F06C7F" w:rsidRDefault="00F06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4B1BBFAE" w:rsidR="00042F7A" w:rsidRDefault="000B0520">
    <w:pPr>
      <w:pBdr>
        <w:top w:val="nil"/>
        <w:left w:val="nil"/>
        <w:bottom w:val="nil"/>
        <w:right w:val="nil"/>
        <w:between w:val="nil"/>
      </w:pBdr>
      <w:tabs>
        <w:tab w:val="center" w:pos="4513"/>
        <w:tab w:val="right" w:pos="9026"/>
      </w:tabs>
      <w:spacing w:after="0" w:line="240" w:lineRule="auto"/>
      <w:rPr>
        <w:rFonts w:eastAsia="Calibri" w:cs="Calibri"/>
        <w:color w:val="000000"/>
      </w:rPr>
    </w:pPr>
    <w:r>
      <w:rPr>
        <w:rFonts w:eastAsia="Calibri" w:cs="Calibri"/>
        <w:noProof/>
        <w:color w:val="000000"/>
      </w:rPr>
      <mc:AlternateContent>
        <mc:Choice Requires="wps">
          <w:drawing>
            <wp:anchor distT="0" distB="0" distL="0" distR="0" simplePos="0" relativeHeight="251659264" behindDoc="0" locked="0" layoutInCell="1" allowOverlap="1" wp14:anchorId="02954663" wp14:editId="0F243920">
              <wp:simplePos x="635" y="635"/>
              <wp:positionH relativeFrom="page">
                <wp:align>center</wp:align>
              </wp:positionH>
              <wp:positionV relativeFrom="page">
                <wp:align>top</wp:align>
              </wp:positionV>
              <wp:extent cx="551815" cy="404495"/>
              <wp:effectExtent l="0" t="0" r="635" b="14605"/>
              <wp:wrapNone/>
              <wp:docPr id="15063823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6E4A0B2" w14:textId="3BF5D603" w:rsidR="000B0520" w:rsidRPr="000B0520" w:rsidRDefault="000B0520" w:rsidP="000B0520">
                          <w:pPr>
                            <w:spacing w:after="0"/>
                            <w:rPr>
                              <w:rFonts w:eastAsia="Calibri" w:cs="Calibri"/>
                              <w:noProof/>
                              <w:color w:val="C00000"/>
                              <w:sz w:val="24"/>
                              <w:szCs w:val="24"/>
                            </w:rPr>
                          </w:pPr>
                          <w:r w:rsidRPr="000B0520">
                            <w:rPr>
                              <w:rFonts w:eastAsia="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954663"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6E4A0B2" w14:textId="3BF5D603" w:rsidR="000B0520" w:rsidRPr="000B0520" w:rsidRDefault="000B0520" w:rsidP="000B0520">
                    <w:pPr>
                      <w:spacing w:after="0"/>
                      <w:rPr>
                        <w:rFonts w:eastAsia="Calibri" w:cs="Calibri"/>
                        <w:noProof/>
                        <w:color w:val="C00000"/>
                        <w:sz w:val="24"/>
                        <w:szCs w:val="24"/>
                      </w:rPr>
                    </w:pPr>
                    <w:r w:rsidRPr="000B0520">
                      <w:rPr>
                        <w:rFonts w:eastAsia="Calibri" w:cs="Calibri"/>
                        <w:noProof/>
                        <w:color w:val="C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32051888" w:rsidR="00042F7A" w:rsidRDefault="000B0520">
    <w:pPr>
      <w:pBdr>
        <w:top w:val="nil"/>
        <w:left w:val="nil"/>
        <w:bottom w:val="nil"/>
        <w:right w:val="nil"/>
        <w:between w:val="nil"/>
      </w:pBdr>
      <w:tabs>
        <w:tab w:val="center" w:pos="4513"/>
        <w:tab w:val="right" w:pos="9026"/>
      </w:tabs>
      <w:spacing w:after="0" w:line="240" w:lineRule="auto"/>
      <w:rPr>
        <w:rFonts w:eastAsia="Calibri" w:cs="Calibri"/>
        <w:color w:val="000000"/>
      </w:rPr>
    </w:pPr>
    <w:r>
      <w:rPr>
        <w:rFonts w:eastAsia="Calibri" w:cs="Calibri"/>
        <w:noProof/>
        <w:color w:val="000000"/>
      </w:rPr>
      <mc:AlternateContent>
        <mc:Choice Requires="wps">
          <w:drawing>
            <wp:anchor distT="0" distB="0" distL="0" distR="0" simplePos="0" relativeHeight="251660288" behindDoc="0" locked="0" layoutInCell="1" allowOverlap="1" wp14:anchorId="088AED41" wp14:editId="41484F17">
              <wp:simplePos x="914400" y="453542"/>
              <wp:positionH relativeFrom="page">
                <wp:align>center</wp:align>
              </wp:positionH>
              <wp:positionV relativeFrom="page">
                <wp:align>top</wp:align>
              </wp:positionV>
              <wp:extent cx="551815" cy="404495"/>
              <wp:effectExtent l="0" t="0" r="635" b="14605"/>
              <wp:wrapNone/>
              <wp:docPr id="184232736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801239B" w14:textId="35BDC667" w:rsidR="000B0520" w:rsidRPr="000B0520" w:rsidRDefault="000B0520" w:rsidP="000B0520">
                          <w:pPr>
                            <w:spacing w:after="0"/>
                            <w:rPr>
                              <w:rFonts w:eastAsia="Calibri" w:cs="Calibri"/>
                              <w:noProof/>
                              <w:color w:val="C0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8AED41"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801239B" w14:textId="35BDC667" w:rsidR="000B0520" w:rsidRPr="000B0520" w:rsidRDefault="000B0520" w:rsidP="000B0520">
                    <w:pPr>
                      <w:spacing w:after="0"/>
                      <w:rPr>
                        <w:rFonts w:eastAsia="Calibri" w:cs="Calibri"/>
                        <w:noProof/>
                        <w:color w:val="C0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5CB55C1E" w:rsidR="00042F7A" w:rsidRDefault="000B0520">
    <w:pPr>
      <w:pBdr>
        <w:top w:val="nil"/>
        <w:left w:val="nil"/>
        <w:bottom w:val="nil"/>
        <w:right w:val="nil"/>
        <w:between w:val="nil"/>
      </w:pBdr>
      <w:tabs>
        <w:tab w:val="center" w:pos="4513"/>
        <w:tab w:val="right" w:pos="9026"/>
      </w:tabs>
      <w:spacing w:after="0" w:line="240" w:lineRule="auto"/>
      <w:rPr>
        <w:rFonts w:eastAsia="Calibri" w:cs="Calibri"/>
        <w:color w:val="000000"/>
      </w:rPr>
    </w:pPr>
    <w:r>
      <w:rPr>
        <w:rFonts w:eastAsia="Calibri" w:cs="Calibri"/>
        <w:noProof/>
        <w:color w:val="000000"/>
      </w:rPr>
      <mc:AlternateContent>
        <mc:Choice Requires="wps">
          <w:drawing>
            <wp:anchor distT="0" distB="0" distL="0" distR="0" simplePos="0" relativeHeight="251658240" behindDoc="0" locked="0" layoutInCell="1" allowOverlap="1" wp14:anchorId="349BCE67" wp14:editId="785E3D25">
              <wp:simplePos x="635" y="635"/>
              <wp:positionH relativeFrom="page">
                <wp:align>center</wp:align>
              </wp:positionH>
              <wp:positionV relativeFrom="page">
                <wp:align>top</wp:align>
              </wp:positionV>
              <wp:extent cx="551815" cy="404495"/>
              <wp:effectExtent l="0" t="0" r="635" b="14605"/>
              <wp:wrapNone/>
              <wp:docPr id="19326166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272573" w14:textId="44D47E99" w:rsidR="000B0520" w:rsidRPr="000B0520" w:rsidRDefault="000B0520" w:rsidP="000B0520">
                          <w:pPr>
                            <w:spacing w:after="0"/>
                            <w:rPr>
                              <w:rFonts w:eastAsia="Calibri" w:cs="Calibri"/>
                              <w:noProof/>
                              <w:color w:val="C00000"/>
                              <w:sz w:val="24"/>
                              <w:szCs w:val="24"/>
                            </w:rPr>
                          </w:pPr>
                          <w:r w:rsidRPr="000B0520">
                            <w:rPr>
                              <w:rFonts w:eastAsia="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9BCE67"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3C272573" w14:textId="44D47E99" w:rsidR="000B0520" w:rsidRPr="000B0520" w:rsidRDefault="000B0520" w:rsidP="000B0520">
                    <w:pPr>
                      <w:spacing w:after="0"/>
                      <w:rPr>
                        <w:rFonts w:eastAsia="Calibri" w:cs="Calibri"/>
                        <w:noProof/>
                        <w:color w:val="C00000"/>
                        <w:sz w:val="24"/>
                        <w:szCs w:val="24"/>
                      </w:rPr>
                    </w:pPr>
                    <w:r w:rsidRPr="000B0520">
                      <w:rPr>
                        <w:rFonts w:eastAsia="Calibri" w:cs="Calibri"/>
                        <w:noProof/>
                        <w:color w:val="C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B8A67"/>
    <w:multiLevelType w:val="hybridMultilevel"/>
    <w:tmpl w:val="3DB81BB8"/>
    <w:lvl w:ilvl="0" w:tplc="E938B37A">
      <w:start w:val="1"/>
      <w:numFmt w:val="bullet"/>
      <w:lvlText w:val=""/>
      <w:lvlJc w:val="left"/>
      <w:pPr>
        <w:ind w:left="720" w:hanging="360"/>
      </w:pPr>
      <w:rPr>
        <w:rFonts w:ascii="Symbol" w:hAnsi="Symbol" w:hint="default"/>
      </w:rPr>
    </w:lvl>
    <w:lvl w:ilvl="1" w:tplc="E34448C4">
      <w:start w:val="1"/>
      <w:numFmt w:val="bullet"/>
      <w:lvlText w:val="o"/>
      <w:lvlJc w:val="left"/>
      <w:pPr>
        <w:ind w:left="1440" w:hanging="360"/>
      </w:pPr>
      <w:rPr>
        <w:rFonts w:ascii="Courier New" w:hAnsi="Courier New" w:hint="default"/>
      </w:rPr>
    </w:lvl>
    <w:lvl w:ilvl="2" w:tplc="0DEEB254">
      <w:start w:val="1"/>
      <w:numFmt w:val="bullet"/>
      <w:lvlText w:val=""/>
      <w:lvlJc w:val="left"/>
      <w:pPr>
        <w:ind w:left="2160" w:hanging="360"/>
      </w:pPr>
      <w:rPr>
        <w:rFonts w:ascii="Wingdings" w:hAnsi="Wingdings" w:hint="default"/>
      </w:rPr>
    </w:lvl>
    <w:lvl w:ilvl="3" w:tplc="B2C26418">
      <w:start w:val="1"/>
      <w:numFmt w:val="bullet"/>
      <w:lvlText w:val=""/>
      <w:lvlJc w:val="left"/>
      <w:pPr>
        <w:ind w:left="2880" w:hanging="360"/>
      </w:pPr>
      <w:rPr>
        <w:rFonts w:ascii="Symbol" w:hAnsi="Symbol" w:hint="default"/>
      </w:rPr>
    </w:lvl>
    <w:lvl w:ilvl="4" w:tplc="76FE8E6C">
      <w:start w:val="1"/>
      <w:numFmt w:val="bullet"/>
      <w:lvlText w:val="o"/>
      <w:lvlJc w:val="left"/>
      <w:pPr>
        <w:ind w:left="3600" w:hanging="360"/>
      </w:pPr>
      <w:rPr>
        <w:rFonts w:ascii="Courier New" w:hAnsi="Courier New" w:hint="default"/>
      </w:rPr>
    </w:lvl>
    <w:lvl w:ilvl="5" w:tplc="3CD4F574">
      <w:start w:val="1"/>
      <w:numFmt w:val="bullet"/>
      <w:lvlText w:val=""/>
      <w:lvlJc w:val="left"/>
      <w:pPr>
        <w:ind w:left="4320" w:hanging="360"/>
      </w:pPr>
      <w:rPr>
        <w:rFonts w:ascii="Wingdings" w:hAnsi="Wingdings" w:hint="default"/>
      </w:rPr>
    </w:lvl>
    <w:lvl w:ilvl="6" w:tplc="2376C258">
      <w:start w:val="1"/>
      <w:numFmt w:val="bullet"/>
      <w:lvlText w:val=""/>
      <w:lvlJc w:val="left"/>
      <w:pPr>
        <w:ind w:left="5040" w:hanging="360"/>
      </w:pPr>
      <w:rPr>
        <w:rFonts w:ascii="Symbol" w:hAnsi="Symbol" w:hint="default"/>
      </w:rPr>
    </w:lvl>
    <w:lvl w:ilvl="7" w:tplc="4E987C8E">
      <w:start w:val="1"/>
      <w:numFmt w:val="bullet"/>
      <w:lvlText w:val="o"/>
      <w:lvlJc w:val="left"/>
      <w:pPr>
        <w:ind w:left="5760" w:hanging="360"/>
      </w:pPr>
      <w:rPr>
        <w:rFonts w:ascii="Courier New" w:hAnsi="Courier New" w:hint="default"/>
      </w:rPr>
    </w:lvl>
    <w:lvl w:ilvl="8" w:tplc="E240393A">
      <w:start w:val="1"/>
      <w:numFmt w:val="bullet"/>
      <w:lvlText w:val=""/>
      <w:lvlJc w:val="left"/>
      <w:pPr>
        <w:ind w:left="6480" w:hanging="360"/>
      </w:pPr>
      <w:rPr>
        <w:rFonts w:ascii="Wingdings" w:hAnsi="Wingdings" w:hint="default"/>
      </w:rPr>
    </w:lvl>
  </w:abstractNum>
  <w:abstractNum w:abstractNumId="1" w15:restartNumberingAfterBreak="0">
    <w:nsid w:val="0D444F11"/>
    <w:multiLevelType w:val="multilevel"/>
    <w:tmpl w:val="344C8EB4"/>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0" w:hanging="360"/>
      </w:pPr>
      <w:rPr>
        <w:rFonts w:ascii="Courier New" w:hAnsi="Courier New" w:hint="default"/>
      </w:rPr>
    </w:lvl>
    <w:lvl w:ilvl="2">
      <w:start w:val="1"/>
      <w:numFmt w:val="bullet"/>
      <w:lvlText w:val=""/>
      <w:lvlJc w:val="left"/>
      <w:pPr>
        <w:ind w:left="860" w:hanging="360"/>
      </w:pPr>
      <w:rPr>
        <w:rFonts w:ascii="Wingdings" w:hAnsi="Wingdings" w:hint="default"/>
      </w:rPr>
    </w:lvl>
    <w:lvl w:ilvl="3">
      <w:start w:val="1"/>
      <w:numFmt w:val="bullet"/>
      <w:lvlText w:val=""/>
      <w:lvlJc w:val="left"/>
      <w:pPr>
        <w:ind w:left="1580" w:hanging="360"/>
      </w:pPr>
      <w:rPr>
        <w:rFonts w:ascii="Symbol" w:hAnsi="Symbol" w:hint="default"/>
      </w:rPr>
    </w:lvl>
    <w:lvl w:ilvl="4">
      <w:start w:val="1"/>
      <w:numFmt w:val="bullet"/>
      <w:lvlText w:val="o"/>
      <w:lvlJc w:val="left"/>
      <w:pPr>
        <w:ind w:left="2300" w:hanging="360"/>
      </w:pPr>
      <w:rPr>
        <w:rFonts w:ascii="Courier New" w:hAnsi="Courier New" w:hint="default"/>
      </w:rPr>
    </w:lvl>
    <w:lvl w:ilvl="5">
      <w:start w:val="1"/>
      <w:numFmt w:val="bullet"/>
      <w:lvlText w:val=""/>
      <w:lvlJc w:val="left"/>
      <w:pPr>
        <w:ind w:left="3020" w:hanging="360"/>
      </w:pPr>
      <w:rPr>
        <w:rFonts w:ascii="Wingdings" w:hAnsi="Wingdings" w:hint="default"/>
      </w:rPr>
    </w:lvl>
    <w:lvl w:ilvl="6">
      <w:start w:val="1"/>
      <w:numFmt w:val="bullet"/>
      <w:lvlText w:val=""/>
      <w:lvlJc w:val="left"/>
      <w:pPr>
        <w:ind w:left="3740" w:hanging="360"/>
      </w:pPr>
      <w:rPr>
        <w:rFonts w:ascii="Symbol" w:hAnsi="Symbol" w:hint="default"/>
      </w:rPr>
    </w:lvl>
    <w:lvl w:ilvl="7">
      <w:start w:val="1"/>
      <w:numFmt w:val="bullet"/>
      <w:lvlText w:val="o"/>
      <w:lvlJc w:val="left"/>
      <w:pPr>
        <w:ind w:left="4460" w:hanging="360"/>
      </w:pPr>
      <w:rPr>
        <w:rFonts w:ascii="Courier New" w:hAnsi="Courier New" w:hint="default"/>
      </w:rPr>
    </w:lvl>
    <w:lvl w:ilvl="8">
      <w:start w:val="1"/>
      <w:numFmt w:val="bullet"/>
      <w:lvlText w:val=""/>
      <w:lvlJc w:val="left"/>
      <w:pPr>
        <w:ind w:left="5180" w:hanging="360"/>
      </w:pPr>
      <w:rPr>
        <w:rFonts w:ascii="Wingdings" w:hAnsi="Wingdings" w:hint="default"/>
      </w:rPr>
    </w:lvl>
  </w:abstractNum>
  <w:abstractNum w:abstractNumId="2" w15:restartNumberingAfterBreak="0">
    <w:nsid w:val="1A2E02CA"/>
    <w:multiLevelType w:val="multilevel"/>
    <w:tmpl w:val="39827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D9327F"/>
    <w:multiLevelType w:val="multilevel"/>
    <w:tmpl w:val="E6B2D870"/>
    <w:lvl w:ilvl="0">
      <w:start w:val="2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8C4D00"/>
    <w:multiLevelType w:val="multilevel"/>
    <w:tmpl w:val="987C3DF8"/>
    <w:lvl w:ilvl="0">
      <w:start w:val="2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C929AD"/>
    <w:multiLevelType w:val="hybridMultilevel"/>
    <w:tmpl w:val="E696B3B0"/>
    <w:lvl w:ilvl="0" w:tplc="F34C6D10">
      <w:start w:val="1"/>
      <w:numFmt w:val="bullet"/>
      <w:lvlText w:val=""/>
      <w:lvlJc w:val="left"/>
      <w:pPr>
        <w:ind w:left="720" w:hanging="360"/>
      </w:pPr>
      <w:rPr>
        <w:rFonts w:ascii="Symbol" w:hAnsi="Symbol" w:hint="default"/>
      </w:rPr>
    </w:lvl>
    <w:lvl w:ilvl="1" w:tplc="9422661C">
      <w:start w:val="1"/>
      <w:numFmt w:val="bullet"/>
      <w:lvlText w:val="o"/>
      <w:lvlJc w:val="left"/>
      <w:pPr>
        <w:ind w:left="1440" w:hanging="360"/>
      </w:pPr>
      <w:rPr>
        <w:rFonts w:ascii="Courier New" w:hAnsi="Courier New" w:hint="default"/>
      </w:rPr>
    </w:lvl>
    <w:lvl w:ilvl="2" w:tplc="DA00B79E">
      <w:start w:val="1"/>
      <w:numFmt w:val="bullet"/>
      <w:lvlText w:val=""/>
      <w:lvlJc w:val="left"/>
      <w:pPr>
        <w:ind w:left="2160" w:hanging="360"/>
      </w:pPr>
      <w:rPr>
        <w:rFonts w:ascii="Wingdings" w:hAnsi="Wingdings" w:hint="default"/>
      </w:rPr>
    </w:lvl>
    <w:lvl w:ilvl="3" w:tplc="BDEA6F8A">
      <w:start w:val="1"/>
      <w:numFmt w:val="bullet"/>
      <w:lvlText w:val=""/>
      <w:lvlJc w:val="left"/>
      <w:pPr>
        <w:ind w:left="2880" w:hanging="360"/>
      </w:pPr>
      <w:rPr>
        <w:rFonts w:ascii="Symbol" w:hAnsi="Symbol" w:hint="default"/>
      </w:rPr>
    </w:lvl>
    <w:lvl w:ilvl="4" w:tplc="6A48C5C0">
      <w:start w:val="1"/>
      <w:numFmt w:val="bullet"/>
      <w:lvlText w:val="o"/>
      <w:lvlJc w:val="left"/>
      <w:pPr>
        <w:ind w:left="3600" w:hanging="360"/>
      </w:pPr>
      <w:rPr>
        <w:rFonts w:ascii="Courier New" w:hAnsi="Courier New" w:hint="default"/>
      </w:rPr>
    </w:lvl>
    <w:lvl w:ilvl="5" w:tplc="0E96FBF8">
      <w:start w:val="1"/>
      <w:numFmt w:val="bullet"/>
      <w:lvlText w:val=""/>
      <w:lvlJc w:val="left"/>
      <w:pPr>
        <w:ind w:left="4320" w:hanging="360"/>
      </w:pPr>
      <w:rPr>
        <w:rFonts w:ascii="Wingdings" w:hAnsi="Wingdings" w:hint="default"/>
      </w:rPr>
    </w:lvl>
    <w:lvl w:ilvl="6" w:tplc="04DE1C12">
      <w:start w:val="1"/>
      <w:numFmt w:val="bullet"/>
      <w:lvlText w:val=""/>
      <w:lvlJc w:val="left"/>
      <w:pPr>
        <w:ind w:left="5040" w:hanging="360"/>
      </w:pPr>
      <w:rPr>
        <w:rFonts w:ascii="Symbol" w:hAnsi="Symbol" w:hint="default"/>
      </w:rPr>
    </w:lvl>
    <w:lvl w:ilvl="7" w:tplc="337ED244">
      <w:start w:val="1"/>
      <w:numFmt w:val="bullet"/>
      <w:lvlText w:val="o"/>
      <w:lvlJc w:val="left"/>
      <w:pPr>
        <w:ind w:left="5760" w:hanging="360"/>
      </w:pPr>
      <w:rPr>
        <w:rFonts w:ascii="Courier New" w:hAnsi="Courier New" w:hint="default"/>
      </w:rPr>
    </w:lvl>
    <w:lvl w:ilvl="8" w:tplc="214605BA">
      <w:start w:val="1"/>
      <w:numFmt w:val="bullet"/>
      <w:lvlText w:val=""/>
      <w:lvlJc w:val="left"/>
      <w:pPr>
        <w:ind w:left="6480" w:hanging="360"/>
      </w:pPr>
      <w:rPr>
        <w:rFonts w:ascii="Wingdings" w:hAnsi="Wingdings" w:hint="default"/>
      </w:rPr>
    </w:lvl>
  </w:abstractNum>
  <w:abstractNum w:abstractNumId="6" w15:restartNumberingAfterBreak="0">
    <w:nsid w:val="51D5A8C9"/>
    <w:multiLevelType w:val="hybridMultilevel"/>
    <w:tmpl w:val="8E8E483E"/>
    <w:lvl w:ilvl="0" w:tplc="C0225672">
      <w:start w:val="1"/>
      <w:numFmt w:val="bullet"/>
      <w:lvlText w:val=""/>
      <w:lvlJc w:val="left"/>
      <w:pPr>
        <w:ind w:left="2113" w:hanging="360"/>
      </w:pPr>
      <w:rPr>
        <w:rFonts w:ascii="Symbol" w:hAnsi="Symbol" w:hint="default"/>
      </w:rPr>
    </w:lvl>
    <w:lvl w:ilvl="1" w:tplc="E75C76E6">
      <w:start w:val="1"/>
      <w:numFmt w:val="bullet"/>
      <w:lvlText w:val="o"/>
      <w:lvlJc w:val="left"/>
      <w:pPr>
        <w:ind w:left="1440" w:hanging="360"/>
      </w:pPr>
      <w:rPr>
        <w:rFonts w:ascii="Courier New" w:hAnsi="Courier New" w:hint="default"/>
      </w:rPr>
    </w:lvl>
    <w:lvl w:ilvl="2" w:tplc="EF52DDF0">
      <w:start w:val="1"/>
      <w:numFmt w:val="bullet"/>
      <w:lvlText w:val=""/>
      <w:lvlJc w:val="left"/>
      <w:pPr>
        <w:ind w:left="2160" w:hanging="360"/>
      </w:pPr>
      <w:rPr>
        <w:rFonts w:ascii="Wingdings" w:hAnsi="Wingdings" w:hint="default"/>
      </w:rPr>
    </w:lvl>
    <w:lvl w:ilvl="3" w:tplc="C0227326">
      <w:start w:val="1"/>
      <w:numFmt w:val="bullet"/>
      <w:lvlText w:val=""/>
      <w:lvlJc w:val="left"/>
      <w:pPr>
        <w:ind w:left="2880" w:hanging="360"/>
      </w:pPr>
      <w:rPr>
        <w:rFonts w:ascii="Symbol" w:hAnsi="Symbol" w:hint="default"/>
      </w:rPr>
    </w:lvl>
    <w:lvl w:ilvl="4" w:tplc="E7B0CC5C">
      <w:start w:val="1"/>
      <w:numFmt w:val="bullet"/>
      <w:lvlText w:val="o"/>
      <w:lvlJc w:val="left"/>
      <w:pPr>
        <w:ind w:left="3600" w:hanging="360"/>
      </w:pPr>
      <w:rPr>
        <w:rFonts w:ascii="Courier New" w:hAnsi="Courier New" w:hint="default"/>
      </w:rPr>
    </w:lvl>
    <w:lvl w:ilvl="5" w:tplc="68F63F38">
      <w:start w:val="1"/>
      <w:numFmt w:val="bullet"/>
      <w:lvlText w:val=""/>
      <w:lvlJc w:val="left"/>
      <w:pPr>
        <w:ind w:left="4320" w:hanging="360"/>
      </w:pPr>
      <w:rPr>
        <w:rFonts w:ascii="Wingdings" w:hAnsi="Wingdings" w:hint="default"/>
      </w:rPr>
    </w:lvl>
    <w:lvl w:ilvl="6" w:tplc="A7E45A8C">
      <w:start w:val="1"/>
      <w:numFmt w:val="bullet"/>
      <w:lvlText w:val=""/>
      <w:lvlJc w:val="left"/>
      <w:pPr>
        <w:ind w:left="5040" w:hanging="360"/>
      </w:pPr>
      <w:rPr>
        <w:rFonts w:ascii="Symbol" w:hAnsi="Symbol" w:hint="default"/>
      </w:rPr>
    </w:lvl>
    <w:lvl w:ilvl="7" w:tplc="0A386F5E">
      <w:start w:val="1"/>
      <w:numFmt w:val="bullet"/>
      <w:lvlText w:val="o"/>
      <w:lvlJc w:val="left"/>
      <w:pPr>
        <w:ind w:left="5760" w:hanging="360"/>
      </w:pPr>
      <w:rPr>
        <w:rFonts w:ascii="Courier New" w:hAnsi="Courier New" w:hint="default"/>
      </w:rPr>
    </w:lvl>
    <w:lvl w:ilvl="8" w:tplc="F2EE1C7E">
      <w:start w:val="1"/>
      <w:numFmt w:val="bullet"/>
      <w:lvlText w:val=""/>
      <w:lvlJc w:val="left"/>
      <w:pPr>
        <w:ind w:left="6480" w:hanging="360"/>
      </w:pPr>
      <w:rPr>
        <w:rFonts w:ascii="Wingdings" w:hAnsi="Wingdings" w:hint="default"/>
      </w:rPr>
    </w:lvl>
  </w:abstractNum>
  <w:abstractNum w:abstractNumId="7" w15:restartNumberingAfterBreak="0">
    <w:nsid w:val="68695E05"/>
    <w:multiLevelType w:val="hybridMultilevel"/>
    <w:tmpl w:val="79BE0892"/>
    <w:lvl w:ilvl="0" w:tplc="5A32B7B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6CBC17D5"/>
    <w:multiLevelType w:val="hybridMultilevel"/>
    <w:tmpl w:val="615ECE30"/>
    <w:lvl w:ilvl="0" w:tplc="C6182506">
      <w:start w:val="1"/>
      <w:numFmt w:val="bullet"/>
      <w:lvlText w:val=""/>
      <w:lvlJc w:val="left"/>
      <w:pPr>
        <w:ind w:left="720" w:hanging="360"/>
      </w:pPr>
      <w:rPr>
        <w:rFonts w:ascii="Symbol" w:hAnsi="Symbol" w:hint="default"/>
      </w:rPr>
    </w:lvl>
    <w:lvl w:ilvl="1" w:tplc="9E48987E">
      <w:start w:val="1"/>
      <w:numFmt w:val="bullet"/>
      <w:lvlText w:val="o"/>
      <w:lvlJc w:val="left"/>
      <w:pPr>
        <w:ind w:left="1440" w:hanging="360"/>
      </w:pPr>
      <w:rPr>
        <w:rFonts w:ascii="Courier New" w:hAnsi="Courier New" w:hint="default"/>
      </w:rPr>
    </w:lvl>
    <w:lvl w:ilvl="2" w:tplc="A3A4536C">
      <w:start w:val="1"/>
      <w:numFmt w:val="bullet"/>
      <w:lvlText w:val=""/>
      <w:lvlJc w:val="left"/>
      <w:pPr>
        <w:ind w:left="2160" w:hanging="360"/>
      </w:pPr>
      <w:rPr>
        <w:rFonts w:ascii="Wingdings" w:hAnsi="Wingdings" w:hint="default"/>
      </w:rPr>
    </w:lvl>
    <w:lvl w:ilvl="3" w:tplc="C63A4BA0">
      <w:start w:val="1"/>
      <w:numFmt w:val="bullet"/>
      <w:lvlText w:val=""/>
      <w:lvlJc w:val="left"/>
      <w:pPr>
        <w:ind w:left="2880" w:hanging="360"/>
      </w:pPr>
      <w:rPr>
        <w:rFonts w:ascii="Symbol" w:hAnsi="Symbol" w:hint="default"/>
      </w:rPr>
    </w:lvl>
    <w:lvl w:ilvl="4" w:tplc="CB1EC112">
      <w:start w:val="1"/>
      <w:numFmt w:val="bullet"/>
      <w:lvlText w:val="o"/>
      <w:lvlJc w:val="left"/>
      <w:pPr>
        <w:ind w:left="3600" w:hanging="360"/>
      </w:pPr>
      <w:rPr>
        <w:rFonts w:ascii="Courier New" w:hAnsi="Courier New" w:hint="default"/>
      </w:rPr>
    </w:lvl>
    <w:lvl w:ilvl="5" w:tplc="6CFC8998">
      <w:start w:val="1"/>
      <w:numFmt w:val="bullet"/>
      <w:lvlText w:val=""/>
      <w:lvlJc w:val="left"/>
      <w:pPr>
        <w:ind w:left="4320" w:hanging="360"/>
      </w:pPr>
      <w:rPr>
        <w:rFonts w:ascii="Wingdings" w:hAnsi="Wingdings" w:hint="default"/>
      </w:rPr>
    </w:lvl>
    <w:lvl w:ilvl="6" w:tplc="F2E84074">
      <w:start w:val="1"/>
      <w:numFmt w:val="bullet"/>
      <w:lvlText w:val=""/>
      <w:lvlJc w:val="left"/>
      <w:pPr>
        <w:ind w:left="5040" w:hanging="360"/>
      </w:pPr>
      <w:rPr>
        <w:rFonts w:ascii="Symbol" w:hAnsi="Symbol" w:hint="default"/>
      </w:rPr>
    </w:lvl>
    <w:lvl w:ilvl="7" w:tplc="0E148886">
      <w:start w:val="1"/>
      <w:numFmt w:val="bullet"/>
      <w:lvlText w:val="o"/>
      <w:lvlJc w:val="left"/>
      <w:pPr>
        <w:ind w:left="5760" w:hanging="360"/>
      </w:pPr>
      <w:rPr>
        <w:rFonts w:ascii="Courier New" w:hAnsi="Courier New" w:hint="default"/>
      </w:rPr>
    </w:lvl>
    <w:lvl w:ilvl="8" w:tplc="0B425E98">
      <w:start w:val="1"/>
      <w:numFmt w:val="bullet"/>
      <w:lvlText w:val=""/>
      <w:lvlJc w:val="left"/>
      <w:pPr>
        <w:ind w:left="6480" w:hanging="360"/>
      </w:pPr>
      <w:rPr>
        <w:rFonts w:ascii="Wingdings" w:hAnsi="Wingdings" w:hint="default"/>
      </w:rPr>
    </w:lvl>
  </w:abstractNum>
  <w:num w:numId="1" w16cid:durableId="1697194500">
    <w:abstractNumId w:val="8"/>
  </w:num>
  <w:num w:numId="2" w16cid:durableId="1087649058">
    <w:abstractNumId w:val="0"/>
  </w:num>
  <w:num w:numId="3" w16cid:durableId="218827747">
    <w:abstractNumId w:val="6"/>
  </w:num>
  <w:num w:numId="4" w16cid:durableId="122777961">
    <w:abstractNumId w:val="5"/>
  </w:num>
  <w:num w:numId="5" w16cid:durableId="1178737630">
    <w:abstractNumId w:val="1"/>
  </w:num>
  <w:num w:numId="6" w16cid:durableId="369040916">
    <w:abstractNumId w:val="4"/>
  </w:num>
  <w:num w:numId="7" w16cid:durableId="254634119">
    <w:abstractNumId w:val="2"/>
  </w:num>
  <w:num w:numId="8" w16cid:durableId="923993391">
    <w:abstractNumId w:val="3"/>
  </w:num>
  <w:num w:numId="9" w16cid:durableId="20679943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F7A"/>
    <w:rsid w:val="00042F7A"/>
    <w:rsid w:val="000B0520"/>
    <w:rsid w:val="00151702"/>
    <w:rsid w:val="001E52B8"/>
    <w:rsid w:val="00317443"/>
    <w:rsid w:val="00336734"/>
    <w:rsid w:val="003E144F"/>
    <w:rsid w:val="003E7BC1"/>
    <w:rsid w:val="003F3649"/>
    <w:rsid w:val="0042706E"/>
    <w:rsid w:val="00485A13"/>
    <w:rsid w:val="00495C14"/>
    <w:rsid w:val="005029DB"/>
    <w:rsid w:val="006B5893"/>
    <w:rsid w:val="007A5A65"/>
    <w:rsid w:val="007D74E4"/>
    <w:rsid w:val="00887A2B"/>
    <w:rsid w:val="009179FE"/>
    <w:rsid w:val="0095351A"/>
    <w:rsid w:val="00A84E29"/>
    <w:rsid w:val="00AB391A"/>
    <w:rsid w:val="00B83EEC"/>
    <w:rsid w:val="00BC5515"/>
    <w:rsid w:val="00D300FF"/>
    <w:rsid w:val="00DE5A1B"/>
    <w:rsid w:val="00E540AA"/>
    <w:rsid w:val="00E917CA"/>
    <w:rsid w:val="00EE7B65"/>
    <w:rsid w:val="00F06C7F"/>
    <w:rsid w:val="00F35DFF"/>
    <w:rsid w:val="00F80DF3"/>
    <w:rsid w:val="00FC19A7"/>
    <w:rsid w:val="049991CC"/>
    <w:rsid w:val="080EC07D"/>
    <w:rsid w:val="0EB1D64F"/>
    <w:rsid w:val="1E2EED48"/>
    <w:rsid w:val="1FEFCCCE"/>
    <w:rsid w:val="33FFE91F"/>
    <w:rsid w:val="4D56F4B1"/>
    <w:rsid w:val="4EE4131A"/>
    <w:rsid w:val="51A08CD3"/>
    <w:rsid w:val="52A3A8F4"/>
    <w:rsid w:val="571ADA73"/>
    <w:rsid w:val="5C4F6208"/>
    <w:rsid w:val="5EF7635B"/>
    <w:rsid w:val="61A1B7D6"/>
    <w:rsid w:val="6BB4CE2A"/>
    <w:rsid w:val="6D57B3FD"/>
    <w:rsid w:val="6E3247AE"/>
    <w:rsid w:val="72A034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3788D"/>
  <w15:docId w15:val="{3DDFEF4F-B918-437E-BC28-B38E6FE4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F02"/>
    <w:rPr>
      <w:rFonts w:eastAsia="Times New Roman" w:cs="Times New Roman"/>
      <w:lang w:bidi="en-US"/>
    </w:rPr>
  </w:style>
  <w:style w:type="paragraph" w:styleId="Heading1">
    <w:name w:val="heading 1"/>
    <w:basedOn w:val="Normal"/>
    <w:next w:val="Normal"/>
    <w:link w:val="Heading1Char"/>
    <w:uiPriority w:val="9"/>
    <w:qFormat/>
    <w:rsid w:val="00591F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1F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1F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1F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1F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1F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1F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1F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1F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F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91F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1F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1F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1F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1F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1F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1F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1F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1F02"/>
    <w:rPr>
      <w:rFonts w:eastAsiaTheme="majorEastAsia" w:cstheme="majorBidi"/>
      <w:color w:val="272727" w:themeColor="text1" w:themeTint="D8"/>
    </w:rPr>
  </w:style>
  <w:style w:type="character" w:customStyle="1" w:styleId="TitleChar">
    <w:name w:val="Title Char"/>
    <w:basedOn w:val="DefaultParagraphFont"/>
    <w:link w:val="Title"/>
    <w:uiPriority w:val="10"/>
    <w:rsid w:val="00591F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91F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1F02"/>
    <w:pPr>
      <w:spacing w:before="160"/>
      <w:jc w:val="center"/>
    </w:pPr>
    <w:rPr>
      <w:i/>
      <w:iCs/>
      <w:color w:val="404040" w:themeColor="text1" w:themeTint="BF"/>
    </w:rPr>
  </w:style>
  <w:style w:type="character" w:customStyle="1" w:styleId="QuoteChar">
    <w:name w:val="Quote Char"/>
    <w:basedOn w:val="DefaultParagraphFont"/>
    <w:link w:val="Quote"/>
    <w:uiPriority w:val="29"/>
    <w:rsid w:val="00591F02"/>
    <w:rPr>
      <w:i/>
      <w:iCs/>
      <w:color w:val="404040" w:themeColor="text1" w:themeTint="BF"/>
    </w:rPr>
  </w:style>
  <w:style w:type="paragraph" w:styleId="ListParagraph">
    <w:name w:val="List Paragraph"/>
    <w:basedOn w:val="Normal"/>
    <w:uiPriority w:val="63"/>
    <w:qFormat/>
    <w:rsid w:val="00591F02"/>
    <w:pPr>
      <w:ind w:left="720"/>
      <w:contextualSpacing/>
    </w:pPr>
  </w:style>
  <w:style w:type="character" w:styleId="IntenseEmphasis">
    <w:name w:val="Intense Emphasis"/>
    <w:basedOn w:val="DefaultParagraphFont"/>
    <w:uiPriority w:val="21"/>
    <w:qFormat/>
    <w:rsid w:val="00591F02"/>
    <w:rPr>
      <w:i/>
      <w:iCs/>
      <w:color w:val="0F4761" w:themeColor="accent1" w:themeShade="BF"/>
    </w:rPr>
  </w:style>
  <w:style w:type="paragraph" w:styleId="IntenseQuote">
    <w:name w:val="Intense Quote"/>
    <w:basedOn w:val="Normal"/>
    <w:next w:val="Normal"/>
    <w:link w:val="IntenseQuoteChar"/>
    <w:uiPriority w:val="30"/>
    <w:qFormat/>
    <w:rsid w:val="00591F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1F02"/>
    <w:rPr>
      <w:i/>
      <w:iCs/>
      <w:color w:val="0F4761" w:themeColor="accent1" w:themeShade="BF"/>
    </w:rPr>
  </w:style>
  <w:style w:type="character" w:styleId="IntenseReference">
    <w:name w:val="Intense Reference"/>
    <w:basedOn w:val="DefaultParagraphFont"/>
    <w:uiPriority w:val="32"/>
    <w:qFormat/>
    <w:rsid w:val="00591F02"/>
    <w:rPr>
      <w:b/>
      <w:bCs/>
      <w:smallCaps/>
      <w:color w:val="0F4761" w:themeColor="accent1" w:themeShade="BF"/>
      <w:spacing w:val="5"/>
    </w:rPr>
  </w:style>
  <w:style w:type="table" w:styleId="TableGrid">
    <w:name w:val="Table Grid"/>
    <w:basedOn w:val="TableNormal"/>
    <w:uiPriority w:val="59"/>
    <w:rsid w:val="00591F02"/>
    <w:pPr>
      <w:spacing w:after="0" w:line="240" w:lineRule="auto"/>
    </w:pPr>
    <w:rPr>
      <w:rFonts w:eastAsia="Times New Roman"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91F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F02"/>
    <w:rPr>
      <w:rFonts w:ascii="Calibri" w:eastAsia="Times New Roman" w:hAnsi="Calibri" w:cs="Times New Roman"/>
      <w:kern w:val="0"/>
      <w:sz w:val="22"/>
      <w:szCs w:val="22"/>
      <w:lang w:val="en-US" w:bidi="en-US"/>
    </w:rPr>
  </w:style>
  <w:style w:type="paragraph" w:styleId="Footer">
    <w:name w:val="footer"/>
    <w:basedOn w:val="Normal"/>
    <w:link w:val="FooterChar"/>
    <w:uiPriority w:val="99"/>
    <w:unhideWhenUsed/>
    <w:rsid w:val="00591F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F02"/>
    <w:rPr>
      <w:rFonts w:ascii="Calibri" w:eastAsia="Times New Roman" w:hAnsi="Calibri" w:cs="Times New Roman"/>
      <w:kern w:val="0"/>
      <w:sz w:val="22"/>
      <w:szCs w:val="22"/>
      <w:lang w:val="en-US" w:bidi="en-US"/>
    </w:rPr>
  </w:style>
  <w:style w:type="paragraph" w:styleId="FootnoteText">
    <w:name w:val="footnote text"/>
    <w:basedOn w:val="Normal"/>
    <w:link w:val="FootnoteTextChar"/>
    <w:uiPriority w:val="99"/>
    <w:semiHidden/>
    <w:unhideWhenUsed/>
    <w:rsid w:val="00591F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1F02"/>
    <w:rPr>
      <w:rFonts w:ascii="Calibri" w:eastAsia="Times New Roman" w:hAnsi="Calibri" w:cs="Times New Roman"/>
      <w:kern w:val="0"/>
      <w:sz w:val="20"/>
      <w:szCs w:val="20"/>
      <w:lang w:val="en-US" w:bidi="en-US"/>
    </w:rPr>
  </w:style>
  <w:style w:type="character" w:styleId="FootnoteReference">
    <w:name w:val="footnote reference"/>
    <w:basedOn w:val="DefaultParagraphFont"/>
    <w:uiPriority w:val="99"/>
    <w:semiHidden/>
    <w:unhideWhenUsed/>
    <w:rsid w:val="00591F02"/>
    <w:rPr>
      <w:vertAlign w:val="superscript"/>
    </w:rPr>
  </w:style>
  <w:style w:type="character" w:styleId="Hyperlink">
    <w:name w:val="Hyperlink"/>
    <w:basedOn w:val="DefaultParagraphFont"/>
    <w:uiPriority w:val="99"/>
    <w:unhideWhenUsed/>
    <w:rsid w:val="005434D8"/>
    <w:rPr>
      <w:color w:val="467886" w:themeColor="hyperlink"/>
      <w:u w:val="single"/>
    </w:rPr>
  </w:style>
  <w:style w:type="character" w:styleId="UnresolvedMention">
    <w:name w:val="Unresolved Mention"/>
    <w:basedOn w:val="DefaultParagraphFont"/>
    <w:uiPriority w:val="99"/>
    <w:semiHidden/>
    <w:unhideWhenUsed/>
    <w:rsid w:val="005434D8"/>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Times New Roman" w:hAnsi="Calibri" w:cs="Times New Roman"/>
      <w:kern w:val="0"/>
      <w:sz w:val="20"/>
      <w:szCs w:val="20"/>
      <w:lang w:val="en-US" w:bidi="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B0520"/>
    <w:rPr>
      <w:b/>
      <w:bCs/>
    </w:rPr>
  </w:style>
  <w:style w:type="character" w:customStyle="1" w:styleId="CommentSubjectChar">
    <w:name w:val="Comment Subject Char"/>
    <w:basedOn w:val="CommentTextChar"/>
    <w:link w:val="CommentSubject"/>
    <w:uiPriority w:val="99"/>
    <w:semiHidden/>
    <w:rsid w:val="000B0520"/>
    <w:rPr>
      <w:rFonts w:ascii="Calibri" w:eastAsia="Times New Roman" w:hAnsi="Calibri" w:cs="Times New Roman"/>
      <w:b/>
      <w:bCs/>
      <w:kern w:val="0"/>
      <w:sz w:val="20"/>
      <w:szCs w:val="20"/>
      <w:lang w:val="en-US" w:bidi="en-US"/>
    </w:rPr>
  </w:style>
  <w:style w:type="paragraph" w:styleId="Revision">
    <w:name w:val="Revision"/>
    <w:hidden/>
    <w:uiPriority w:val="99"/>
    <w:semiHidden/>
    <w:rsid w:val="00F80DF3"/>
    <w:pPr>
      <w:spacing w:after="0" w:line="240" w:lineRule="auto"/>
    </w:pPr>
    <w:rPr>
      <w:rFonts w:eastAsia="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ience.org.au/files/userfiles/support/reports-and-plans/in-progress-decadal-plans/astronomy-26-35/working-group-2_1-international-and-space-facilites_new.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astronomyaustralia.org.au/industry-engagement-advisory-committee/" TargetMode="External"/><Relationship Id="rId4" Type="http://schemas.openxmlformats.org/officeDocument/2006/relationships/settings" Target="settings.xml"/><Relationship Id="rId9" Type="http://schemas.openxmlformats.org/officeDocument/2006/relationships/hyperlink" Target="https://astronomyaustralia.org.au/committees-astronomy-australia-ltd/asac/"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5CDJuO3jSjfkzSIBaXHID5u8A==">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3</Pages>
  <Words>1018</Words>
  <Characters>5806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Cooke</dc:creator>
  <cp:lastModifiedBy>Alexander Cooke</cp:lastModifiedBy>
  <cp:revision>4</cp:revision>
  <dcterms:created xsi:type="dcterms:W3CDTF">2025-06-05T00:27:00Z</dcterms:created>
  <dcterms:modified xsi:type="dcterms:W3CDTF">2025-06-05T00:41:00Z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0x0101006D2F350CF638074291908B2AC34FA09A</vt:lpwstr>
  </property>
  <property fmtid="{D5CDD505-2E9C-101B-9397-08002B2CF9AE}" pid="3" name="MediaServiceImageTags">
    <vt:lpwstr/>
  </property>
  <property fmtid="{D5CDD505-2E9C-101B-9397-08002B2CF9AE}" pid="4" name="ClassificationContentMarkingHeaderShapeIds">
    <vt:lpwstr>733163cf,8fa8e96,6dcfaf42</vt:lpwstr>
  </property>
  <property fmtid="{D5CDD505-2E9C-101B-9397-08002B2CF9AE}" pid="5" name="ClassificationContentMarkingHeaderFontProps">
    <vt:lpwstr>#c00000,12,Calibri</vt:lpwstr>
  </property>
  <property fmtid="{D5CDD505-2E9C-101B-9397-08002B2CF9AE}" pid="6" name="ClassificationContentMarkingHeaderText">
    <vt:lpwstr>OFFICIAL</vt:lpwstr>
  </property>
  <property fmtid="{D5CDD505-2E9C-101B-9397-08002B2CF9AE}" pid="7" name="ClassificationContentMarkingFooterShapeIds">
    <vt:lpwstr>61f1b4be,5535b7b,3c09aee5</vt:lpwstr>
  </property>
  <property fmtid="{D5CDD505-2E9C-101B-9397-08002B2CF9AE}" pid="8" name="ClassificationContentMarkingFooterFontProps">
    <vt:lpwstr>#c00000,12,Calibri</vt:lpwstr>
  </property>
  <property fmtid="{D5CDD505-2E9C-101B-9397-08002B2CF9AE}" pid="9" name="ClassificationContentMarkingFooterText">
    <vt:lpwstr>OFFICIAL</vt:lpwstr>
  </property>
</Properties>
</file>